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4DE3" w14:textId="3F91F45C" w:rsidR="00EF4B0B" w:rsidRDefault="00EF4B0B" w:rsidP="00EF4B0B">
      <w:pPr>
        <w:jc w:val="center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8B6989">
        <w:rPr>
          <w:rFonts w:ascii="Segoe UI" w:hAnsi="Segoe UI" w:cs="Segoe UI"/>
          <w:b/>
          <w:bCs/>
          <w:color w:val="000000"/>
          <w:sz w:val="28"/>
          <w:szCs w:val="28"/>
        </w:rPr>
        <w:t xml:space="preserve">Verejná  anonymná  </w:t>
      </w:r>
      <w:proofErr w:type="spellStart"/>
      <w:r w:rsidRPr="008B6989">
        <w:rPr>
          <w:rFonts w:ascii="Segoe UI" w:hAnsi="Segoe UI" w:cs="Segoe UI"/>
          <w:b/>
          <w:bCs/>
          <w:color w:val="000000"/>
          <w:sz w:val="28"/>
          <w:szCs w:val="28"/>
        </w:rPr>
        <w:t>krajinársko</w:t>
      </w:r>
      <w:proofErr w:type="spellEnd"/>
      <w:r w:rsidRPr="008B6989">
        <w:rPr>
          <w:rFonts w:ascii="Segoe UI" w:hAnsi="Segoe UI" w:cs="Segoe UI"/>
          <w:b/>
          <w:bCs/>
          <w:color w:val="000000"/>
          <w:sz w:val="28"/>
          <w:szCs w:val="28"/>
        </w:rPr>
        <w:t xml:space="preserve"> – architektonická  súťaž                 DEPO PARK TRNAVA</w:t>
      </w:r>
    </w:p>
    <w:p w14:paraId="5D5854BF" w14:textId="20B80FBC" w:rsidR="00C97B84" w:rsidRDefault="00C97B84" w:rsidP="00EF4B0B">
      <w:pPr>
        <w:jc w:val="center"/>
        <w:rPr>
          <w:rFonts w:ascii="Segoe UI" w:hAnsi="Segoe UI" w:cs="Segoe UI"/>
          <w:b/>
          <w:bCs/>
          <w:color w:val="000000"/>
          <w:sz w:val="28"/>
          <w:szCs w:val="28"/>
        </w:rPr>
      </w:pPr>
    </w:p>
    <w:p w14:paraId="50406BCC" w14:textId="01EE317A" w:rsidR="00C97B84" w:rsidRPr="008B6989" w:rsidRDefault="00C97B84" w:rsidP="00EF4B0B">
      <w:pPr>
        <w:jc w:val="center"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9ECCAD2" wp14:editId="3058E497">
            <wp:extent cx="5760720" cy="2790749"/>
            <wp:effectExtent l="0" t="0" r="0" b="0"/>
            <wp:docPr id="1" name="Obrázok 1" descr="Depo park Trn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o park Trna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5B4BF" w14:textId="77777777" w:rsidR="00EF4B0B" w:rsidRDefault="00EF4B0B">
      <w:pPr>
        <w:rPr>
          <w:rFonts w:ascii="Segoe UI" w:hAnsi="Segoe UI" w:cs="Segoe UI"/>
          <w:color w:val="000000"/>
          <w:sz w:val="27"/>
          <w:szCs w:val="27"/>
        </w:rPr>
      </w:pPr>
    </w:p>
    <w:p w14:paraId="4B4CE005" w14:textId="725F5594" w:rsidR="00F40525" w:rsidRPr="00234FF9" w:rsidRDefault="00EF4B0B" w:rsidP="00234FF9">
      <w:pPr>
        <w:spacing w:after="0" w:line="240" w:lineRule="atLeast"/>
        <w:jc w:val="both"/>
        <w:rPr>
          <w:rFonts w:cstheme="minorHAnsi"/>
          <w:color w:val="000000"/>
          <w:sz w:val="24"/>
          <w:szCs w:val="24"/>
        </w:rPr>
      </w:pPr>
      <w:r w:rsidRPr="00234FF9">
        <w:rPr>
          <w:rFonts w:cstheme="minorHAnsi"/>
          <w:color w:val="000000"/>
          <w:sz w:val="24"/>
          <w:szCs w:val="24"/>
        </w:rPr>
        <w:t>Mesto Trnava vyhlásilo dňa 27.9.2023 verejnú anonymnú projektovú jednoetapovú krajinársko-architektonickú súťaž na najvhodnejší krajinársko-architektonický návrh bývalého železničného depa a opravárenských hál Urbánneho parku pre alternatívne mestské športy a kultúru. </w:t>
      </w:r>
    </w:p>
    <w:p w14:paraId="0261DAA1" w14:textId="77777777" w:rsidR="00234FF9" w:rsidRDefault="00234FF9" w:rsidP="00234FF9">
      <w:pPr>
        <w:spacing w:after="0" w:line="240" w:lineRule="atLeast"/>
        <w:jc w:val="both"/>
        <w:rPr>
          <w:rFonts w:cstheme="minorHAnsi"/>
          <w:color w:val="000000"/>
          <w:sz w:val="24"/>
          <w:szCs w:val="24"/>
        </w:rPr>
      </w:pPr>
    </w:p>
    <w:p w14:paraId="629212DE" w14:textId="7DEEB38C" w:rsidR="00234FF9" w:rsidRDefault="00EF4B0B" w:rsidP="00234FF9">
      <w:pPr>
        <w:spacing w:after="0" w:line="240" w:lineRule="atLeast"/>
        <w:jc w:val="both"/>
        <w:rPr>
          <w:rFonts w:cstheme="minorHAnsi"/>
          <w:color w:val="000000"/>
          <w:sz w:val="24"/>
          <w:szCs w:val="24"/>
        </w:rPr>
      </w:pPr>
      <w:r w:rsidRPr="00234FF9">
        <w:rPr>
          <w:rFonts w:cstheme="minorHAnsi"/>
          <w:color w:val="000000"/>
          <w:sz w:val="24"/>
          <w:szCs w:val="24"/>
        </w:rPr>
        <w:t xml:space="preserve">Zámerom mesta je, aby opustený a chátrajúci </w:t>
      </w:r>
      <w:proofErr w:type="spellStart"/>
      <w:r w:rsidRPr="00234FF9">
        <w:rPr>
          <w:rFonts w:cstheme="minorHAnsi"/>
          <w:color w:val="000000"/>
          <w:sz w:val="24"/>
          <w:szCs w:val="24"/>
        </w:rPr>
        <w:t>brownfield</w:t>
      </w:r>
      <w:proofErr w:type="spellEnd"/>
      <w:r w:rsidRPr="00234FF9">
        <w:rPr>
          <w:rFonts w:cstheme="minorHAnsi"/>
          <w:color w:val="000000"/>
          <w:sz w:val="24"/>
          <w:szCs w:val="24"/>
        </w:rPr>
        <w:t xml:space="preserve"> o rozlohe cca 3 hektáre a haly s </w:t>
      </w:r>
      <w:proofErr w:type="spellStart"/>
      <w:r w:rsidRPr="00234FF9">
        <w:rPr>
          <w:rFonts w:cstheme="minorHAnsi"/>
          <w:color w:val="000000"/>
          <w:sz w:val="24"/>
          <w:szCs w:val="24"/>
        </w:rPr>
        <w:t>prestrešenou</w:t>
      </w:r>
      <w:proofErr w:type="spellEnd"/>
      <w:r w:rsidRPr="00234FF9">
        <w:rPr>
          <w:rFonts w:cstheme="minorHAnsi"/>
          <w:color w:val="000000"/>
          <w:sz w:val="24"/>
          <w:szCs w:val="24"/>
        </w:rPr>
        <w:t xml:space="preserve"> plochou 2650</w:t>
      </w:r>
      <w:r w:rsidR="00733BEB">
        <w:rPr>
          <w:rFonts w:cstheme="minorHAnsi"/>
          <w:color w:val="000000"/>
          <w:sz w:val="24"/>
          <w:szCs w:val="24"/>
        </w:rPr>
        <w:t xml:space="preserve"> </w:t>
      </w:r>
      <w:r w:rsidRPr="00234FF9">
        <w:rPr>
          <w:rFonts w:cstheme="minorHAnsi"/>
          <w:color w:val="000000"/>
          <w:sz w:val="24"/>
          <w:szCs w:val="24"/>
        </w:rPr>
        <w:t>m</w:t>
      </w:r>
      <w:r w:rsidRPr="00733BEB">
        <w:rPr>
          <w:rFonts w:cstheme="minorHAnsi"/>
          <w:color w:val="000000"/>
          <w:sz w:val="24"/>
          <w:szCs w:val="24"/>
          <w:vertAlign w:val="superscript"/>
        </w:rPr>
        <w:t xml:space="preserve">2 </w:t>
      </w:r>
      <w:r w:rsidR="00733BEB">
        <w:rPr>
          <w:rFonts w:cstheme="minorHAnsi"/>
          <w:color w:val="000000"/>
          <w:sz w:val="24"/>
          <w:szCs w:val="24"/>
        </w:rPr>
        <w:t xml:space="preserve"> </w:t>
      </w:r>
      <w:r w:rsidRPr="00234FF9">
        <w:rPr>
          <w:rFonts w:cstheme="minorHAnsi"/>
          <w:color w:val="000000"/>
          <w:sz w:val="24"/>
          <w:szCs w:val="24"/>
        </w:rPr>
        <w:t>sa zmenili na urbánny park, ktorý má ambíciu stať sa centrom budúceho rozvoja krajiny medzi rekreačnou zónou Kamenný mlyn a sídliskom Prednádražie</w:t>
      </w:r>
      <w:r w:rsidR="00733BEB">
        <w:rPr>
          <w:rFonts w:cstheme="minorHAnsi"/>
          <w:color w:val="000000"/>
          <w:sz w:val="24"/>
          <w:szCs w:val="24"/>
        </w:rPr>
        <w:t xml:space="preserve"> v Trnave</w:t>
      </w:r>
      <w:r w:rsidRPr="00234FF9">
        <w:rPr>
          <w:rFonts w:cstheme="minorHAnsi"/>
          <w:color w:val="000000"/>
          <w:sz w:val="24"/>
          <w:szCs w:val="24"/>
        </w:rPr>
        <w:t xml:space="preserve">. Ťažiskovým programom je </w:t>
      </w:r>
      <w:proofErr w:type="spellStart"/>
      <w:r w:rsidRPr="00234FF9">
        <w:rPr>
          <w:rFonts w:cstheme="minorHAnsi"/>
          <w:color w:val="000000"/>
          <w:sz w:val="24"/>
          <w:szCs w:val="24"/>
        </w:rPr>
        <w:t>Skatepark</w:t>
      </w:r>
      <w:proofErr w:type="spellEnd"/>
      <w:r w:rsidRPr="00234FF9">
        <w:rPr>
          <w:rFonts w:cstheme="minorHAnsi"/>
          <w:color w:val="000000"/>
          <w:sz w:val="24"/>
          <w:szCs w:val="24"/>
        </w:rPr>
        <w:t xml:space="preserve"> s parametrami na organizovanie medzinárodných súťaží. Priestory a plochy hál a areálu majú byť doplnené o ďalšie športov</w:t>
      </w:r>
      <w:r w:rsidR="00733BEB">
        <w:rPr>
          <w:rFonts w:cstheme="minorHAnsi"/>
          <w:color w:val="000000"/>
          <w:sz w:val="24"/>
          <w:szCs w:val="24"/>
        </w:rPr>
        <w:t>é</w:t>
      </w:r>
      <w:r w:rsidRPr="00234FF9">
        <w:rPr>
          <w:rFonts w:cstheme="minorHAnsi"/>
          <w:color w:val="000000"/>
          <w:sz w:val="24"/>
          <w:szCs w:val="24"/>
        </w:rPr>
        <w:t xml:space="preserve"> </w:t>
      </w:r>
      <w:r w:rsidR="00733BEB">
        <w:rPr>
          <w:rFonts w:cstheme="minorHAnsi"/>
          <w:color w:val="000000"/>
          <w:sz w:val="24"/>
          <w:szCs w:val="24"/>
        </w:rPr>
        <w:t xml:space="preserve">a </w:t>
      </w:r>
      <w:r w:rsidRPr="00234FF9">
        <w:rPr>
          <w:rFonts w:cstheme="minorHAnsi"/>
          <w:color w:val="000000"/>
          <w:sz w:val="24"/>
          <w:szCs w:val="24"/>
        </w:rPr>
        <w:t>kultúrne programy, pre vytvorenie mixu pre živý a intenzívny mestský priestor bez bariér s prirodzenými rozhraniami a komplexnými vzťahmi.</w:t>
      </w:r>
    </w:p>
    <w:p w14:paraId="498AFB45" w14:textId="67CA9A65" w:rsidR="00EF4B0B" w:rsidRPr="00234FF9" w:rsidRDefault="00EF4B0B" w:rsidP="00234FF9">
      <w:pPr>
        <w:spacing w:after="0" w:line="240" w:lineRule="atLeast"/>
        <w:jc w:val="both"/>
        <w:rPr>
          <w:rFonts w:cstheme="minorHAnsi"/>
          <w:color w:val="000000"/>
          <w:sz w:val="24"/>
          <w:szCs w:val="24"/>
        </w:rPr>
      </w:pPr>
      <w:r w:rsidRPr="00234FF9">
        <w:rPr>
          <w:rFonts w:cstheme="minorHAnsi"/>
          <w:color w:val="000000"/>
          <w:sz w:val="24"/>
          <w:szCs w:val="24"/>
        </w:rPr>
        <w:br/>
        <w:t>Krajinárske riešenie areálu má ísť nad rámec rekreačnej a okrasnej funkcie, ale predovšetkým ponúkať stratégie na manažment zrážkovej vody, regeneráciu pôdy a zníženie environmentálnej záťaže či rozvoj biodiverzity flóry a drobnej fauny. Súťaž zároveň hľadala možnosti zachovania alebo interpretácie železničného charakteru areálu v prospech jeho budúcej jedinečnosti.</w:t>
      </w:r>
    </w:p>
    <w:p w14:paraId="3428C9B2" w14:textId="77777777" w:rsidR="00234FF9" w:rsidRDefault="00234FF9" w:rsidP="00234FF9">
      <w:pPr>
        <w:spacing w:after="0" w:line="240" w:lineRule="atLeast"/>
        <w:jc w:val="both"/>
        <w:rPr>
          <w:rFonts w:cstheme="minorHAnsi"/>
          <w:color w:val="000000"/>
          <w:sz w:val="24"/>
          <w:szCs w:val="24"/>
        </w:rPr>
      </w:pPr>
    </w:p>
    <w:p w14:paraId="3AB3605C" w14:textId="7F0D1698" w:rsidR="00EF4B0B" w:rsidRPr="00234FF9" w:rsidRDefault="00EF4B0B" w:rsidP="00234FF9">
      <w:pPr>
        <w:spacing w:after="0" w:line="240" w:lineRule="atLeast"/>
        <w:jc w:val="both"/>
        <w:rPr>
          <w:rFonts w:cstheme="minorHAnsi"/>
          <w:color w:val="000000"/>
          <w:sz w:val="24"/>
          <w:szCs w:val="24"/>
        </w:rPr>
      </w:pPr>
      <w:r w:rsidRPr="00234FF9">
        <w:rPr>
          <w:rFonts w:cstheme="minorHAnsi"/>
          <w:color w:val="000000"/>
          <w:sz w:val="24"/>
          <w:szCs w:val="24"/>
        </w:rPr>
        <w:t xml:space="preserve">V termíne určenom na odovzdanie súťažných návrhov bolo prijatých 20 návrhov, z ktorých všetky splnili formálne aj obsahové  podmienky na hodnotenie. </w:t>
      </w:r>
    </w:p>
    <w:p w14:paraId="1FE892BD" w14:textId="77777777" w:rsidR="00EF4B0B" w:rsidRDefault="00EF4B0B" w:rsidP="00EF4B0B">
      <w:pPr>
        <w:jc w:val="both"/>
        <w:rPr>
          <w:rFonts w:ascii="Segoe UI" w:hAnsi="Segoe UI" w:cs="Segoe UI"/>
          <w:color w:val="000000"/>
          <w:sz w:val="27"/>
          <w:szCs w:val="27"/>
        </w:rPr>
      </w:pPr>
    </w:p>
    <w:p w14:paraId="52E1108A" w14:textId="5FDDBDC0" w:rsidR="00EF4B0B" w:rsidRPr="008B6989" w:rsidRDefault="00EF4B0B" w:rsidP="008B6989">
      <w:pPr>
        <w:jc w:val="center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8B6989">
        <w:rPr>
          <w:rFonts w:ascii="Segoe UI" w:hAnsi="Segoe UI" w:cs="Segoe UI"/>
          <w:b/>
          <w:bCs/>
          <w:color w:val="000000"/>
          <w:sz w:val="28"/>
          <w:szCs w:val="28"/>
        </w:rPr>
        <w:lastRenderedPageBreak/>
        <w:t xml:space="preserve">Výsledky verejnej  anonymnej  </w:t>
      </w:r>
      <w:proofErr w:type="spellStart"/>
      <w:r w:rsidRPr="008B6989">
        <w:rPr>
          <w:rFonts w:ascii="Segoe UI" w:hAnsi="Segoe UI" w:cs="Segoe UI"/>
          <w:b/>
          <w:bCs/>
          <w:color w:val="000000"/>
          <w:sz w:val="28"/>
          <w:szCs w:val="28"/>
        </w:rPr>
        <w:t>krajinársko</w:t>
      </w:r>
      <w:proofErr w:type="spellEnd"/>
      <w:r w:rsidRPr="008B6989">
        <w:rPr>
          <w:rFonts w:ascii="Segoe UI" w:hAnsi="Segoe UI" w:cs="Segoe UI"/>
          <w:b/>
          <w:bCs/>
          <w:color w:val="000000"/>
          <w:sz w:val="28"/>
          <w:szCs w:val="28"/>
        </w:rPr>
        <w:t xml:space="preserve"> –</w:t>
      </w:r>
      <w:r w:rsidR="008B6989" w:rsidRPr="008B6989">
        <w:rPr>
          <w:rFonts w:ascii="Segoe UI" w:hAnsi="Segoe UI" w:cs="Segoe UI"/>
          <w:b/>
          <w:bCs/>
          <w:color w:val="000000"/>
          <w:sz w:val="28"/>
          <w:szCs w:val="28"/>
        </w:rPr>
        <w:t xml:space="preserve"> </w:t>
      </w:r>
      <w:r w:rsidRPr="008B6989">
        <w:rPr>
          <w:rFonts w:ascii="Segoe UI" w:hAnsi="Segoe UI" w:cs="Segoe UI"/>
          <w:b/>
          <w:bCs/>
          <w:color w:val="000000"/>
          <w:sz w:val="28"/>
          <w:szCs w:val="28"/>
        </w:rPr>
        <w:t>architektonickej  súťaže        DEPO PARK TRNAVA</w:t>
      </w:r>
    </w:p>
    <w:p w14:paraId="6E2C788D" w14:textId="693A9697" w:rsidR="008B6989" w:rsidRDefault="008B6989" w:rsidP="008B6989">
      <w:pPr>
        <w:rPr>
          <w:rFonts w:ascii="Segoe UI" w:hAnsi="Segoe UI" w:cs="Segoe UI"/>
          <w:b/>
          <w:bCs/>
          <w:color w:val="000000"/>
          <w:sz w:val="27"/>
          <w:szCs w:val="27"/>
        </w:rPr>
      </w:pPr>
      <w:r>
        <w:rPr>
          <w:rFonts w:ascii="Segoe UI" w:hAnsi="Segoe UI" w:cs="Segoe UI"/>
          <w:b/>
          <w:bCs/>
          <w:color w:val="000000"/>
          <w:sz w:val="27"/>
          <w:szCs w:val="27"/>
        </w:rPr>
        <w:t>Ocenené návrhy</w:t>
      </w:r>
    </w:p>
    <w:p w14:paraId="3D1ED7F9" w14:textId="63989864" w:rsidR="008B6989" w:rsidRPr="008B6989" w:rsidRDefault="008B6989" w:rsidP="008B6989">
      <w:pPr>
        <w:spacing w:after="0" w:line="240" w:lineRule="auto"/>
        <w:rPr>
          <w:rFonts w:ascii="Calibri" w:eastAsia="Calibri" w:hAnsi="Calibri" w:cs="Calibri"/>
          <w:lang w:eastAsia="sk-SK"/>
        </w:rPr>
      </w:pPr>
      <w:r w:rsidRPr="008B6989"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>1.</w:t>
      </w:r>
      <w:r w:rsidRPr="008B6989">
        <w:rPr>
          <w:rFonts w:ascii="Calibri" w:eastAsia="Calibri" w:hAnsi="Calibri" w:cs="Calibri"/>
          <w:color w:val="201F1E"/>
          <w:sz w:val="14"/>
          <w:szCs w:val="14"/>
          <w:lang w:eastAsia="sk-SK"/>
        </w:rPr>
        <w:t xml:space="preserve">    </w:t>
      </w:r>
      <w:r w:rsidRPr="008B6989"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>miesto</w:t>
      </w:r>
      <w:r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 xml:space="preserve"> - súťažný n</w:t>
      </w:r>
      <w:r w:rsidRPr="008B6989"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>ávrh č. 5</w:t>
      </w:r>
      <w:r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 xml:space="preserve"> (24 000 €) </w:t>
      </w:r>
    </w:p>
    <w:p w14:paraId="18D5ADEA" w14:textId="77777777" w:rsidR="008B6989" w:rsidRPr="008B6989" w:rsidRDefault="008B6989" w:rsidP="008B698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B6989">
        <w:rPr>
          <w:rFonts w:ascii="Calibri" w:eastAsia="Calibri" w:hAnsi="Calibri" w:cs="Times New Roman"/>
          <w:sz w:val="24"/>
          <w:szCs w:val="24"/>
        </w:rPr>
        <w:t xml:space="preserve">Návrh sa vyznačuje racionálnym a ekonomicky triezvym prístupom k pôvodnej architektonickej substancii  a jej stavebnej kvalite. Odstraňuje budovu administratívy a koncentruje svoju pozornosť na obe existujúce haly čím vytvára kompaktný koncentrovaný architektonický objekt/ celok obsahujúci všetok požadovaný program. Asanuje lineárnu prístavbu, ktorú nahrádza  rozšíreným novotvarom obsahujúcim vstupné priestory s recepciou, priestory zázemia,  prenajímateľné priestory a 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gastro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-prevádzku.  Medzi týmito priestormi a pôvodnými halami sa nachádza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void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/ chodba/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medzipriestor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 s mimoriadnym architektonickým potenciálom  expanzie jednotlivých prevádzok a „mixovania“ programov a udalostí.  Prístavba je navrhnutá ako modulárny prefabrikovaný systém na báze dreva generuje aj kvalitný prekrytý priestor, s možnosťou  rozšírenia  programov do exteriéru smerom do veľkorysého námestia. Plochy na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skejtovanie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 a ďalšie športové a kultúrne programy v pôvodných halách dopĺňajú dve minimálne, ale dostatočné vykurovateľné plochy  s celoročným využitím. Návrh sa dôkladne venuje rôznym režimom využitia priestorov, dbá na environmentálne súvislosti, využitie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sute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 z asanácií i hospodárnosť prevádzky. Rešpektuje pôvodný industriálny charakter hál a obnovuje podstatu obálky a otvorov čím ponúka komfort chráneného „exteriéru“ pre každodenné používanie, zbytočne nezatepľuje.  Nová architektonická vrstva je dostatočne sebavedomá, avšak navrhnutá s rešpektom ku kvalitám tej pôvodnej. Jedná sa jednoznačný a jasný architektonický koncept s veľkým potenciálom. V rámci celkového urbanizmu areálu jednoznačne definuje plochy čím ponúka možnosť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etapizácie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 respektíve životaschopnosť projektu aj pri zameraní sa na bezprostredné okolie hál. Zachované koľajisko, nové vedenie cyklotrasy ako aj rozšírenie obslužnej komunikácie dávajú možnosť obsluhy a prechodu celým areálom.</w:t>
      </w:r>
    </w:p>
    <w:p w14:paraId="587DA9FF" w14:textId="77777777" w:rsidR="008B6989" w:rsidRPr="008B6989" w:rsidRDefault="008B6989" w:rsidP="008B698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7EF7A1F" w14:textId="77777777" w:rsidR="008B6989" w:rsidRPr="008B6989" w:rsidRDefault="008B6989" w:rsidP="008B698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lang w:eastAsia="sk-SK"/>
        </w:rPr>
      </w:pPr>
      <w:r w:rsidRPr="008B6989"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>Odporúčania poroty pre dopracovanie víťazného návrhu:</w:t>
      </w:r>
    </w:p>
    <w:p w14:paraId="692CD2F9" w14:textId="77777777" w:rsidR="008B6989" w:rsidRPr="008B6989" w:rsidRDefault="008B6989" w:rsidP="008B698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B6989">
        <w:rPr>
          <w:rFonts w:ascii="Calibri" w:eastAsia="Calibri" w:hAnsi="Calibri" w:cs="Calibri"/>
          <w:color w:val="201F1E"/>
          <w:sz w:val="24"/>
          <w:szCs w:val="24"/>
          <w:lang w:eastAsia="sk-SK"/>
        </w:rPr>
        <w:t>Porota odporúča haly viacej otvoriť v juhozápadnom smere, teda do voľnej krajiny.</w:t>
      </w:r>
      <w:r w:rsidRPr="008B6989">
        <w:rPr>
          <w:rFonts w:ascii="Calibri" w:eastAsia="Calibri" w:hAnsi="Calibri" w:cs="Calibri"/>
          <w:color w:val="00B050"/>
          <w:sz w:val="24"/>
          <w:szCs w:val="24"/>
          <w:lang w:eastAsia="sk-SK"/>
        </w:rPr>
        <w:t xml:space="preserve"> </w:t>
      </w:r>
      <w:r w:rsidRPr="008B6989">
        <w:rPr>
          <w:rFonts w:ascii="Calibri" w:eastAsia="Calibri" w:hAnsi="Calibri" w:cs="Calibri"/>
          <w:sz w:val="24"/>
          <w:szCs w:val="24"/>
          <w:lang w:eastAsia="sk-SK"/>
        </w:rPr>
        <w:t>S ohľadom na pomerne rozsiahly dostavovaný objem porota rovnako odporúča pristúpiť k navrhovanému novotvaru racionálne a ekonomicky.</w:t>
      </w:r>
    </w:p>
    <w:p w14:paraId="77A680E2" w14:textId="77777777" w:rsidR="008B6989" w:rsidRPr="008B6989" w:rsidRDefault="008B6989" w:rsidP="008B6989">
      <w:pPr>
        <w:spacing w:after="0" w:line="240" w:lineRule="auto"/>
        <w:jc w:val="both"/>
        <w:rPr>
          <w:rFonts w:ascii="Calibri" w:eastAsia="Calibri" w:hAnsi="Calibri" w:cs="Calibri"/>
          <w:color w:val="201F1E"/>
          <w:sz w:val="24"/>
          <w:szCs w:val="24"/>
          <w:lang w:eastAsia="sk-SK"/>
        </w:rPr>
      </w:pPr>
      <w:r w:rsidRPr="008B6989">
        <w:rPr>
          <w:rFonts w:ascii="Calibri" w:eastAsia="Calibri" w:hAnsi="Calibri" w:cs="Calibri"/>
          <w:color w:val="201F1E"/>
          <w:sz w:val="24"/>
          <w:szCs w:val="24"/>
          <w:lang w:eastAsia="sk-SK"/>
        </w:rPr>
        <w:t>Finálny architektonický návrh by mal presnejšie dopovedať priestor koľajiska a ostatných častí priestoru depa. Súčet pojazdných plôch exteriérového skejt parku je potrebné navýšiť na 800 m</w:t>
      </w:r>
      <w:r w:rsidRPr="008B6989">
        <w:rPr>
          <w:rFonts w:ascii="Calibri" w:eastAsia="Calibri" w:hAnsi="Calibri" w:cs="Calibri"/>
          <w:color w:val="201F1E"/>
          <w:sz w:val="24"/>
          <w:szCs w:val="24"/>
          <w:vertAlign w:val="superscript"/>
          <w:lang w:eastAsia="sk-SK"/>
        </w:rPr>
        <w:t>2</w:t>
      </w:r>
      <w:r w:rsidRPr="008B6989">
        <w:rPr>
          <w:rFonts w:ascii="Calibri" w:eastAsia="Calibri" w:hAnsi="Calibri" w:cs="Calibri"/>
          <w:color w:val="201F1E"/>
          <w:sz w:val="24"/>
          <w:szCs w:val="24"/>
          <w:lang w:eastAsia="sk-SK"/>
        </w:rPr>
        <w:t xml:space="preserve"> a tvarovo pôdorys prispôsobiť podľa odporučení </w:t>
      </w:r>
      <w:proofErr w:type="spellStart"/>
      <w:r w:rsidRPr="008B6989">
        <w:rPr>
          <w:rFonts w:ascii="Calibri" w:eastAsia="Calibri" w:hAnsi="Calibri" w:cs="Calibri"/>
          <w:color w:val="201F1E"/>
          <w:sz w:val="24"/>
          <w:szCs w:val="24"/>
          <w:lang w:eastAsia="sk-SK"/>
        </w:rPr>
        <w:t>World</w:t>
      </w:r>
      <w:proofErr w:type="spellEnd"/>
      <w:r w:rsidRPr="008B6989">
        <w:rPr>
          <w:rFonts w:ascii="Calibri" w:eastAsia="Calibri" w:hAnsi="Calibri" w:cs="Calibri"/>
          <w:color w:val="201F1E"/>
          <w:sz w:val="24"/>
          <w:szCs w:val="24"/>
          <w:lang w:eastAsia="sk-SK"/>
        </w:rPr>
        <w:t xml:space="preserve"> </w:t>
      </w:r>
      <w:proofErr w:type="spellStart"/>
      <w:r w:rsidRPr="008B6989">
        <w:rPr>
          <w:rFonts w:ascii="Calibri" w:eastAsia="Calibri" w:hAnsi="Calibri" w:cs="Calibri"/>
          <w:color w:val="201F1E"/>
          <w:sz w:val="24"/>
          <w:szCs w:val="24"/>
          <w:lang w:eastAsia="sk-SK"/>
        </w:rPr>
        <w:t>Skate</w:t>
      </w:r>
      <w:proofErr w:type="spellEnd"/>
      <w:r w:rsidRPr="008B6989">
        <w:rPr>
          <w:rFonts w:ascii="Calibri" w:eastAsia="Calibri" w:hAnsi="Calibri" w:cs="Calibri"/>
          <w:color w:val="201F1E"/>
          <w:sz w:val="24"/>
          <w:szCs w:val="24"/>
          <w:lang w:eastAsia="sk-SK"/>
        </w:rPr>
        <w:t>. Taktiež je odporúčané do navrhovaného riešenia zapojiť krajinného architekta a to najmä s ohľadom na ekologické témy,  zamerať sa aj na problematiku fungovania vody v krajine. Krajinárske riešenie by malo väčšmi reflektovať krajinné väzby a súvislosti v širšom území, ekologické problémy i kvality,  rovnako, ako detailne opísať manažment existujúcej zachovanej zelene.</w:t>
      </w:r>
    </w:p>
    <w:p w14:paraId="49AB438E" w14:textId="77777777" w:rsidR="008B6989" w:rsidRPr="008B6989" w:rsidRDefault="008B6989" w:rsidP="008B6989">
      <w:pPr>
        <w:spacing w:after="0" w:line="240" w:lineRule="auto"/>
        <w:jc w:val="both"/>
        <w:rPr>
          <w:rFonts w:ascii="Calibri" w:eastAsia="Calibri" w:hAnsi="Calibri" w:cs="Calibri"/>
          <w:color w:val="201F1E"/>
          <w:sz w:val="24"/>
          <w:szCs w:val="24"/>
          <w:lang w:eastAsia="sk-SK"/>
        </w:rPr>
      </w:pPr>
    </w:p>
    <w:p w14:paraId="4F4E5DF6" w14:textId="5C4F369B" w:rsidR="008B6989" w:rsidRPr="008B6989" w:rsidRDefault="008B6989" w:rsidP="008B698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lang w:eastAsia="sk-SK"/>
        </w:rPr>
      </w:pPr>
      <w:r w:rsidRPr="008B6989"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>2.miesto</w:t>
      </w:r>
      <w:r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 xml:space="preserve"> </w:t>
      </w:r>
      <w:r w:rsidR="00234FF9"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>-</w:t>
      </w:r>
      <w:r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 xml:space="preserve"> súťažný návrh </w:t>
      </w:r>
      <w:r w:rsidRPr="008B6989"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>č. 7</w:t>
      </w:r>
      <w:r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 xml:space="preserve"> (18 000 €)  </w:t>
      </w:r>
    </w:p>
    <w:p w14:paraId="5F86E289" w14:textId="77777777" w:rsidR="008B6989" w:rsidRPr="008B6989" w:rsidRDefault="008B6989" w:rsidP="008B698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B6989">
        <w:rPr>
          <w:rFonts w:ascii="Calibri" w:eastAsia="Calibri" w:hAnsi="Calibri" w:cs="Times New Roman"/>
          <w:sz w:val="24"/>
          <w:szCs w:val="24"/>
        </w:rPr>
        <w:t xml:space="preserve">Porota vysoko hodnotila jednoznačnosť lineárneho konceptu, pracujúceho s ideou gradientu na úrovni krajiny i samotnej organizácie navrhovaného areálu. Pôvodná lineárna dostavba je rozvinutá v návrhu do výrazného architektonického gesta, ktoré okrem umiestnenia požadovaného architektonického programu generuje aj novú úroveň pre terasu/ tribúnu a prepája viacero častí areálu.  Táto je v čase usporiadania súťaží skvelou odpoveďou na </w:t>
      </w:r>
      <w:r w:rsidRPr="008B6989">
        <w:rPr>
          <w:rFonts w:ascii="Calibri" w:eastAsia="Calibri" w:hAnsi="Calibri" w:cs="Times New Roman"/>
          <w:sz w:val="24"/>
          <w:szCs w:val="24"/>
        </w:rPr>
        <w:lastRenderedPageBreak/>
        <w:t>zvýšenie kapacity divákov, avšak pri bežnej prevádzke sa javí ako problematická. Porota taktiež vysoko hodnotila ideu „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skejtovateľnej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 stuhy“, ktorá umožní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riderom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 užiť si celú rozlohu areálu. Využitie ostatných existujúcich objektov v rámci areálu, ich zapojenie do diania umožňuje disperziu diania do celého územia depa a je konceptuálnym protipólom víťazného návrhu, ktorý programy koncentruje v existujúcich halách. Táto snaha o príjemne veľkorysý a nenásilne diferencovaný areál sa ukazuje ako menej vhodná resp. ťažšie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etapizovateľná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.  Porota ocenila civilnosť a neformálnosť architektonického výrazu i prezentovaných atmosfér. Návrh veľmi správne vníma krajinu v širších súvislostiach a nezužuje zeleň len na úroveň vizuálneho dekóru. </w:t>
      </w:r>
    </w:p>
    <w:p w14:paraId="54AD9528" w14:textId="77777777" w:rsidR="008B6989" w:rsidRPr="008B6989" w:rsidRDefault="008B6989" w:rsidP="008B6989">
      <w:pPr>
        <w:spacing w:after="0" w:line="240" w:lineRule="auto"/>
        <w:jc w:val="both"/>
        <w:rPr>
          <w:rFonts w:ascii="Calibri" w:eastAsia="Calibri" w:hAnsi="Calibri" w:cs="Times New Roman"/>
          <w:color w:val="00B050"/>
          <w:sz w:val="24"/>
          <w:szCs w:val="24"/>
        </w:rPr>
      </w:pPr>
    </w:p>
    <w:p w14:paraId="4470DDE3" w14:textId="122C625C" w:rsidR="008B6989" w:rsidRPr="008B6989" w:rsidRDefault="008B6989" w:rsidP="008B698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lang w:eastAsia="sk-SK"/>
        </w:rPr>
      </w:pPr>
      <w:r w:rsidRPr="008B6989"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>3.miesto</w:t>
      </w:r>
      <w:r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 xml:space="preserve"> </w:t>
      </w:r>
      <w:r w:rsidR="00234FF9"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>-</w:t>
      </w:r>
      <w:r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 xml:space="preserve"> súťažný n</w:t>
      </w:r>
      <w:r w:rsidRPr="008B6989"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>ávrh č. 18</w:t>
      </w:r>
      <w:r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 xml:space="preserve"> (12 000 €)</w:t>
      </w:r>
    </w:p>
    <w:p w14:paraId="5FE2CF26" w14:textId="77777777" w:rsidR="008B6989" w:rsidRPr="008B6989" w:rsidRDefault="008B6989" w:rsidP="008B698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B6989">
        <w:rPr>
          <w:rFonts w:ascii="Calibri" w:eastAsia="Calibri" w:hAnsi="Calibri" w:cs="Times New Roman"/>
          <w:sz w:val="24"/>
          <w:szCs w:val="24"/>
        </w:rPr>
        <w:t xml:space="preserve">Porota a aj experti v návrhu oceňujú prepojenie „vnútorného“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skejtového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 priestoru jednej z hál s priestrannou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skate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 plaza čím sa podarilo vytvoriť lákavý obraz plynulého jazdenia medzi certifikovaným športovým a voľným jazdením na námestí. Tento potenciál je vhodne posilnený rozhodnutím maximálneho otvorenia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skate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 haly jej povýšenia na pavilón. Čo na druhej strane oslabuje vhodnosť takejto konštrukcie pre každodenné používanie v zmysle jej veľkej miere otvorenosti voči okolitej krajine a počasiu.</w:t>
      </w:r>
    </w:p>
    <w:p w14:paraId="1B31CBFC" w14:textId="77777777" w:rsidR="008B6989" w:rsidRPr="008B6989" w:rsidRDefault="008B6989" w:rsidP="008B698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B6989">
        <w:rPr>
          <w:rFonts w:ascii="Calibri" w:eastAsia="Calibri" w:hAnsi="Calibri" w:cs="Times New Roman"/>
          <w:sz w:val="24"/>
          <w:szCs w:val="24"/>
        </w:rPr>
        <w:t xml:space="preserve">Nevhodným sa ukazuje rozhodnutie umiestniť vykurovateľné plochy do novej, zbytočne výraznej, konštrukcie, ktorá viac ako jej reálne používanie, oslabené nutnosťou sezónneho obliekania a vyzliekania, ponúka abstraktné urbanistické naťahovanie areálu. Posilňovanie priečnych vzťahov, či už ako prázdna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skate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 plaza alebo „plná“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biergarten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, sa ukazuje ako vhodnejší spôsob využitia a nastavenia charakteru nových verejných priestorov. Podobne ako víťazný návrh je areál členený na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etapizovateľné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 celky. Otvorenosť areálu je dosiahnutá aj minimalizáciou zázemia resp. jeho skrytím do suterénu v prístavbe druhej haly, čo sa ukazuje ako problematické riešenie so stavebného hľadiska. Zároveň je nevhodne zvolená snaha o transformáciu druhej haly na celoročne funkčnú športovú halu pre bežné športy. Takáto ambícia zbytočne navyšuje investičné a prevádzkové náklady a uberá priestor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neformálnejším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 športovým a kultúrnym využitiam. Návrh reflektuje širšie vzťahy a prepojenia s okolitou krajinou. Avšak práca s vegetáciou napriek uvedomeniu si jej existujúcich hodnôt ostáva vo všeobecnej polohe.</w:t>
      </w:r>
    </w:p>
    <w:p w14:paraId="606B3A97" w14:textId="77777777" w:rsidR="008B6989" w:rsidRPr="008B6989" w:rsidRDefault="008B6989" w:rsidP="008B6989">
      <w:pPr>
        <w:spacing w:after="0" w:line="240" w:lineRule="auto"/>
        <w:jc w:val="both"/>
        <w:rPr>
          <w:rFonts w:ascii="Calibri" w:eastAsia="Calibri" w:hAnsi="Calibri" w:cs="Times New Roman"/>
          <w:color w:val="4F81BD"/>
          <w:sz w:val="24"/>
          <w:szCs w:val="24"/>
        </w:rPr>
      </w:pPr>
    </w:p>
    <w:p w14:paraId="5F3FF840" w14:textId="07F957C9" w:rsidR="008B6989" w:rsidRPr="008B6989" w:rsidRDefault="008B6989" w:rsidP="008B6989">
      <w:pPr>
        <w:spacing w:after="0" w:line="240" w:lineRule="atLeast"/>
        <w:jc w:val="both"/>
        <w:rPr>
          <w:rFonts w:ascii="Calibri" w:eastAsia="Calibri" w:hAnsi="Calibri" w:cs="Calibri"/>
          <w:b/>
          <w:bCs/>
          <w:color w:val="4F81BD"/>
          <w:sz w:val="24"/>
          <w:szCs w:val="24"/>
          <w:lang w:eastAsia="sk-SK"/>
        </w:rPr>
      </w:pPr>
      <w:r w:rsidRPr="008B6989"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  <w:t>Odmena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  <w:t xml:space="preserve"> </w:t>
      </w:r>
      <w:r w:rsidR="00234FF9"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  <w:t>-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  <w:t xml:space="preserve"> súťažný n</w:t>
      </w:r>
      <w:r w:rsidRPr="008B6989"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  <w:t>ávrh č.11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  <w:t xml:space="preserve"> (6 000 </w:t>
      </w:r>
      <w:r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>€)</w:t>
      </w:r>
    </w:p>
    <w:p w14:paraId="57458FDD" w14:textId="77777777" w:rsidR="008B6989" w:rsidRPr="008B6989" w:rsidRDefault="008B6989" w:rsidP="008B698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B6989">
        <w:rPr>
          <w:rFonts w:ascii="Calibri" w:eastAsia="Calibri" w:hAnsi="Calibri" w:cs="Times New Roman"/>
          <w:sz w:val="24"/>
          <w:szCs w:val="24"/>
        </w:rPr>
        <w:t xml:space="preserve">Prednosťou návrhu je dispozičná jednoduchosť a efektivita riešených hál, ktoré sú očistené od pôvodnej prístavby. Návrh rieši zázemie v navýšenom trojpodlažnom strednom krčku medzi halami, s dvojicou vložených boxov. V jednom z nich umiestňuje vykurovateľný priestor pre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skate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. Priestor pre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skejtovanie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 spĺňa požiadavky súťažných podmienok, uzurpuje si však väčšinu priestoru hál a ostatným športom necháva len minimum. Návrh vhodne na viacerých úrovniach ponúka viaceré úrovne a organizácie pohybu, čím uvoľňuje plochy pre šport. Problematické sú rozhodnutia na úrovni riešenia obálky hál respektíve zväčšených otvorov, ktoré majú ambíciu na sezónne otvorenie avšak s prehnane veľkými výklopnými  vrátami, ktoré idú proti úsporne nastavenému celkovému konceptu. Riešenie viacúrovňového zázemia v strede nepovažujeme za vhodné. Navrhovaná hmota je oproti hmote industriálnych hál dominantná, čo nemusí byť negatívum.  Avšak nepochopenie potenciálu vertikálneho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atraktora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  ukazuje následná snaha o prehnanú a nevhodnú 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vertikalizáciu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 vodnej veže.</w:t>
      </w:r>
    </w:p>
    <w:p w14:paraId="22ACFE9C" w14:textId="77777777" w:rsidR="008B6989" w:rsidRPr="008B6989" w:rsidRDefault="008B6989" w:rsidP="008B698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B6989">
        <w:rPr>
          <w:rFonts w:ascii="Calibri" w:eastAsia="Calibri" w:hAnsi="Calibri" w:cs="Times New Roman"/>
          <w:sz w:val="24"/>
          <w:szCs w:val="24"/>
        </w:rPr>
        <w:t>Odmenu porota odporučila udeliť návrhu za jednoduchosť a ekonomickosť riešenia, ako aj za veľmi dobré riešenie krajiny v spojitosti s okolím.   </w:t>
      </w:r>
    </w:p>
    <w:p w14:paraId="61B05AAC" w14:textId="77777777" w:rsidR="008B6989" w:rsidRPr="008B6989" w:rsidRDefault="008B6989" w:rsidP="008B6989">
      <w:pPr>
        <w:spacing w:after="0" w:line="240" w:lineRule="auto"/>
        <w:jc w:val="both"/>
        <w:rPr>
          <w:rFonts w:ascii="Calibri" w:eastAsia="Calibri" w:hAnsi="Calibri" w:cs="Times New Roman"/>
          <w:color w:val="4F81BD"/>
          <w:sz w:val="24"/>
          <w:szCs w:val="24"/>
        </w:rPr>
      </w:pPr>
    </w:p>
    <w:p w14:paraId="6BB9154D" w14:textId="14594424" w:rsidR="008B6989" w:rsidRPr="008B6989" w:rsidRDefault="008B6989" w:rsidP="008B6989">
      <w:pPr>
        <w:spacing w:after="0" w:line="240" w:lineRule="atLeast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</w:pPr>
      <w:r w:rsidRPr="008B6989"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  <w:lastRenderedPageBreak/>
        <w:t>Odmena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  <w:t xml:space="preserve"> </w:t>
      </w:r>
      <w:r w:rsidR="00234FF9"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  <w:t>-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  <w:t xml:space="preserve"> súťažný n</w:t>
      </w:r>
      <w:r w:rsidRPr="008B6989"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  <w:t>ávrh č.19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lang w:eastAsia="sk-SK"/>
        </w:rPr>
        <w:t xml:space="preserve"> (6 000 </w:t>
      </w:r>
      <w:r w:rsidR="00234FF9">
        <w:rPr>
          <w:rFonts w:ascii="Calibri" w:eastAsia="Calibri" w:hAnsi="Calibri" w:cs="Calibri"/>
          <w:b/>
          <w:bCs/>
          <w:color w:val="201F1E"/>
          <w:sz w:val="24"/>
          <w:szCs w:val="24"/>
          <w:lang w:eastAsia="sk-SK"/>
        </w:rPr>
        <w:t>€)</w:t>
      </w:r>
    </w:p>
    <w:p w14:paraId="7A99F71C" w14:textId="3F97DB3D" w:rsidR="008B6989" w:rsidRPr="008B6989" w:rsidRDefault="008B6989" w:rsidP="008B698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sk-SK"/>
        </w:rPr>
      </w:pPr>
      <w:r w:rsidRPr="008B6989">
        <w:rPr>
          <w:rFonts w:ascii="Calibri" w:eastAsia="Calibri" w:hAnsi="Calibri" w:cs="Times New Roman"/>
          <w:sz w:val="24"/>
          <w:szCs w:val="24"/>
        </w:rPr>
        <w:t xml:space="preserve">Návrh porota odmenila vzhľadom na to, že ponúka najvhodnejšie riešenie pre potreby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certifikovateľného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skateparku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 pre obe disciplíny so zachovaním industriálnej atmosféry a jej doplnením o charakterovo vhodné priestory pre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skate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 komunitu. Otázna je však všadeprítomná otvorenosť priestorov vo vzťahu k potrebe ich uzatvárania pri každodennom používaní. Veľkorysosť návrhu spočíva hlavne vo vytvorení ďalších priestorov pre ostatné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aktvity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 v podobe novostavby multifunkčnej športovej haly. Toto rozhodnutie ponúka jasnú víziu ich rozvoja  a organizácie areálu v jeho lineárnej podobe. Ide však nad rámec zadania i logiky umiestňovania výrazných novostavieb v tomto území, teda i  nad rámec základnej ekonomiky projektu. Úroveň </w:t>
      </w:r>
      <w:proofErr w:type="spellStart"/>
      <w:r w:rsidRPr="008B6989">
        <w:rPr>
          <w:rFonts w:ascii="Calibri" w:eastAsia="Calibri" w:hAnsi="Calibri" w:cs="Times New Roman"/>
          <w:sz w:val="24"/>
          <w:szCs w:val="24"/>
        </w:rPr>
        <w:t>mikro</w:t>
      </w:r>
      <w:proofErr w:type="spellEnd"/>
      <w:r w:rsidRPr="008B6989">
        <w:rPr>
          <w:rFonts w:ascii="Calibri" w:eastAsia="Calibri" w:hAnsi="Calibri" w:cs="Times New Roman"/>
          <w:sz w:val="24"/>
          <w:szCs w:val="24"/>
        </w:rPr>
        <w:t xml:space="preserve">-urbanistických vzťahov, zvolených architektonických riešení a navodenia exteriérových a interiérových atmosfér je na dobrej úrovni. Pozitívne bola  vnímaná aj snaha o nastavenie priečnych prepojení medzi samotným areálom a budúcim lesoparkom.  </w:t>
      </w:r>
      <w:r w:rsidRPr="008B6989">
        <w:rPr>
          <w:rFonts w:ascii="Calibri" w:eastAsia="Calibri" w:hAnsi="Calibri" w:cs="Calibri"/>
          <w:sz w:val="24"/>
          <w:szCs w:val="24"/>
          <w:lang w:eastAsia="sk-SK"/>
        </w:rPr>
        <w:t>V návrhu absentuje plocha, ktorú by bolo možné využívať občasne aj pre podujatia ako koncerty a kultúrne eventy.</w:t>
      </w:r>
    </w:p>
    <w:p w14:paraId="7FA9E6DA" w14:textId="77777777" w:rsidR="008B6989" w:rsidRPr="008B6989" w:rsidRDefault="008B6989" w:rsidP="008B6989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sk-SK"/>
        </w:rPr>
      </w:pPr>
    </w:p>
    <w:p w14:paraId="340A38CD" w14:textId="11CEBB34" w:rsidR="008B6989" w:rsidRDefault="008B6989" w:rsidP="008B6989">
      <w:pPr>
        <w:spacing w:after="0" w:line="240" w:lineRule="auto"/>
        <w:jc w:val="both"/>
        <w:rPr>
          <w:rFonts w:ascii="Calibri" w:eastAsia="Calibri" w:hAnsi="Calibri" w:cs="Times New Roman"/>
          <w:color w:val="4F81BD"/>
          <w:sz w:val="24"/>
          <w:szCs w:val="24"/>
        </w:rPr>
      </w:pPr>
    </w:p>
    <w:p w14:paraId="67ECDC47" w14:textId="4C0D4579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  <w:r w:rsidRPr="00733BEB">
        <w:rPr>
          <w:b/>
          <w:bCs/>
          <w:sz w:val="24"/>
          <w:szCs w:val="24"/>
        </w:rPr>
        <w:t xml:space="preserve">6. – 8. miesto </w:t>
      </w:r>
      <w:r w:rsidR="00E93967">
        <w:rPr>
          <w:b/>
          <w:bCs/>
          <w:sz w:val="24"/>
          <w:szCs w:val="24"/>
        </w:rPr>
        <w:t xml:space="preserve"> - </w:t>
      </w:r>
      <w:r w:rsidRPr="00733BEB">
        <w:rPr>
          <w:b/>
          <w:bCs/>
          <w:sz w:val="24"/>
          <w:szCs w:val="24"/>
        </w:rPr>
        <w:t xml:space="preserve">návrhy č. 1, 9, 17 </w:t>
      </w:r>
    </w:p>
    <w:p w14:paraId="67123486" w14:textId="6C659531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  <w:r w:rsidRPr="00733BEB">
        <w:rPr>
          <w:b/>
          <w:bCs/>
          <w:sz w:val="24"/>
          <w:szCs w:val="24"/>
        </w:rPr>
        <w:t>Návrh č.1</w:t>
      </w:r>
    </w:p>
    <w:p w14:paraId="19602291" w14:textId="1019733D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  <w:r w:rsidRPr="00733BEB">
        <w:rPr>
          <w:b/>
          <w:bCs/>
          <w:sz w:val="24"/>
          <w:szCs w:val="24"/>
        </w:rPr>
        <w:t>Návrh č.9</w:t>
      </w:r>
    </w:p>
    <w:p w14:paraId="2AB76F39" w14:textId="3B669725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  <w:r w:rsidRPr="00733BEB">
        <w:rPr>
          <w:b/>
          <w:bCs/>
          <w:sz w:val="24"/>
          <w:szCs w:val="24"/>
        </w:rPr>
        <w:t>Návrh č.17</w:t>
      </w:r>
    </w:p>
    <w:p w14:paraId="07361AA9" w14:textId="41A96C48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</w:p>
    <w:p w14:paraId="034F8AEF" w14:textId="4ADD32C2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  <w:r w:rsidRPr="00733BEB">
        <w:rPr>
          <w:b/>
          <w:bCs/>
          <w:sz w:val="24"/>
          <w:szCs w:val="24"/>
        </w:rPr>
        <w:t xml:space="preserve">9. – 10. miesto </w:t>
      </w:r>
      <w:r w:rsidR="00E93967">
        <w:rPr>
          <w:b/>
          <w:bCs/>
          <w:sz w:val="24"/>
          <w:szCs w:val="24"/>
        </w:rPr>
        <w:t xml:space="preserve"> - </w:t>
      </w:r>
      <w:r w:rsidRPr="00733BEB">
        <w:rPr>
          <w:b/>
          <w:bCs/>
          <w:sz w:val="24"/>
          <w:szCs w:val="24"/>
        </w:rPr>
        <w:t xml:space="preserve">návrhy č. 10, 13 </w:t>
      </w:r>
    </w:p>
    <w:p w14:paraId="1706A001" w14:textId="04E1FAF7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  <w:r w:rsidRPr="00733BEB">
        <w:rPr>
          <w:b/>
          <w:bCs/>
          <w:sz w:val="24"/>
          <w:szCs w:val="24"/>
        </w:rPr>
        <w:t>Návrh č.10</w:t>
      </w:r>
    </w:p>
    <w:p w14:paraId="47190489" w14:textId="62E1A0C8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  <w:r w:rsidRPr="00733BEB">
        <w:rPr>
          <w:b/>
          <w:bCs/>
          <w:sz w:val="24"/>
          <w:szCs w:val="24"/>
        </w:rPr>
        <w:t>Návrh č.13</w:t>
      </w:r>
    </w:p>
    <w:p w14:paraId="33A114CA" w14:textId="77777777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</w:p>
    <w:p w14:paraId="70D3493B" w14:textId="269B138C" w:rsidR="00EF4B0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  <w:r w:rsidRPr="00733BEB">
        <w:rPr>
          <w:b/>
          <w:bCs/>
          <w:sz w:val="24"/>
          <w:szCs w:val="24"/>
        </w:rPr>
        <w:t xml:space="preserve">11. – 20. miesto </w:t>
      </w:r>
      <w:r w:rsidR="00E93967">
        <w:rPr>
          <w:b/>
          <w:bCs/>
          <w:sz w:val="24"/>
          <w:szCs w:val="24"/>
        </w:rPr>
        <w:t xml:space="preserve">- </w:t>
      </w:r>
      <w:r w:rsidRPr="00733BEB">
        <w:rPr>
          <w:b/>
          <w:bCs/>
          <w:sz w:val="24"/>
          <w:szCs w:val="24"/>
        </w:rPr>
        <w:t>návrhy č. 2, 3, 4, 6, 8, 12, 14, 15, 16, 20</w:t>
      </w:r>
    </w:p>
    <w:p w14:paraId="47E78303" w14:textId="74241F59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  <w:r w:rsidRPr="00733BEB">
        <w:rPr>
          <w:b/>
          <w:bCs/>
          <w:sz w:val="24"/>
          <w:szCs w:val="24"/>
        </w:rPr>
        <w:t>Návrh č.2</w:t>
      </w:r>
    </w:p>
    <w:p w14:paraId="1799F16B" w14:textId="28D396C4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  <w:r w:rsidRPr="00733BEB">
        <w:rPr>
          <w:b/>
          <w:bCs/>
          <w:sz w:val="24"/>
          <w:szCs w:val="24"/>
        </w:rPr>
        <w:t>Návrh č.3</w:t>
      </w:r>
    </w:p>
    <w:p w14:paraId="07CF5BDC" w14:textId="4CB27F8E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  <w:r w:rsidRPr="00733BEB">
        <w:rPr>
          <w:b/>
          <w:bCs/>
          <w:sz w:val="24"/>
          <w:szCs w:val="24"/>
        </w:rPr>
        <w:t>Návrh č.4</w:t>
      </w:r>
    </w:p>
    <w:p w14:paraId="3903AD10" w14:textId="4C3616CC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  <w:r w:rsidRPr="00733BEB">
        <w:rPr>
          <w:b/>
          <w:bCs/>
          <w:sz w:val="24"/>
          <w:szCs w:val="24"/>
        </w:rPr>
        <w:t>Návrh č.6</w:t>
      </w:r>
    </w:p>
    <w:p w14:paraId="5D1303BF" w14:textId="067E32C8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  <w:r w:rsidRPr="00733BEB">
        <w:rPr>
          <w:b/>
          <w:bCs/>
          <w:sz w:val="24"/>
          <w:szCs w:val="24"/>
        </w:rPr>
        <w:t>Návrh č.8</w:t>
      </w:r>
    </w:p>
    <w:p w14:paraId="3D83946C" w14:textId="0F5A1AB6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  <w:r w:rsidRPr="00733BEB">
        <w:rPr>
          <w:b/>
          <w:bCs/>
          <w:sz w:val="24"/>
          <w:szCs w:val="24"/>
        </w:rPr>
        <w:t>Návrh č.12</w:t>
      </w:r>
    </w:p>
    <w:p w14:paraId="7BE1CB7F" w14:textId="603EFB83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  <w:r w:rsidRPr="00733BEB">
        <w:rPr>
          <w:b/>
          <w:bCs/>
          <w:sz w:val="24"/>
          <w:szCs w:val="24"/>
        </w:rPr>
        <w:t>Návrh č.14</w:t>
      </w:r>
    </w:p>
    <w:p w14:paraId="2048C64B" w14:textId="1DE84FE5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  <w:r w:rsidRPr="00733BEB">
        <w:rPr>
          <w:b/>
          <w:bCs/>
          <w:sz w:val="24"/>
          <w:szCs w:val="24"/>
        </w:rPr>
        <w:t>Návrh č.15</w:t>
      </w:r>
    </w:p>
    <w:p w14:paraId="744DBF75" w14:textId="1026BEC6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  <w:r w:rsidRPr="00733BEB">
        <w:rPr>
          <w:b/>
          <w:bCs/>
          <w:sz w:val="24"/>
          <w:szCs w:val="24"/>
        </w:rPr>
        <w:t>Návrh č.16</w:t>
      </w:r>
    </w:p>
    <w:p w14:paraId="65B6DF57" w14:textId="27A8C940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  <w:r w:rsidRPr="00733BEB">
        <w:rPr>
          <w:b/>
          <w:bCs/>
          <w:sz w:val="24"/>
          <w:szCs w:val="24"/>
        </w:rPr>
        <w:t>Návrh č.20</w:t>
      </w:r>
    </w:p>
    <w:p w14:paraId="5753E0E5" w14:textId="77777777" w:rsidR="00733BEB" w:rsidRPr="00733BEB" w:rsidRDefault="00733BEB" w:rsidP="00AA5F3D">
      <w:pPr>
        <w:spacing w:line="240" w:lineRule="auto"/>
        <w:rPr>
          <w:b/>
          <w:bCs/>
          <w:sz w:val="24"/>
          <w:szCs w:val="24"/>
        </w:rPr>
      </w:pPr>
    </w:p>
    <w:sectPr w:rsidR="00733BEB" w:rsidRPr="00733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0B"/>
    <w:rsid w:val="00234FF9"/>
    <w:rsid w:val="00733BEB"/>
    <w:rsid w:val="008B6989"/>
    <w:rsid w:val="00AA5F3D"/>
    <w:rsid w:val="00C97B84"/>
    <w:rsid w:val="00E93967"/>
    <w:rsid w:val="00EF4B0B"/>
    <w:rsid w:val="00F4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59D6"/>
  <w15:chartTrackingRefBased/>
  <w15:docId w15:val="{9511B4A5-4C56-4C70-ADC1-9B1A6E01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E9EF0-B132-409D-821A-F8A71F3D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arch. Peter Purdeš</dc:creator>
  <cp:keywords/>
  <dc:description/>
  <cp:lastModifiedBy>Ing. arch. Peter Purdeš</cp:lastModifiedBy>
  <cp:revision>4</cp:revision>
  <dcterms:created xsi:type="dcterms:W3CDTF">2023-12-11T11:46:00Z</dcterms:created>
  <dcterms:modified xsi:type="dcterms:W3CDTF">2023-12-11T16:06:00Z</dcterms:modified>
</cp:coreProperties>
</file>