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E565" w14:textId="44CD5505" w:rsidR="00C45ACF" w:rsidRPr="00744D36" w:rsidRDefault="00C45ACF" w:rsidP="00C45ACF">
      <w:pPr>
        <w:pStyle w:val="Nadpis1"/>
        <w:rPr>
          <w:rStyle w:val="Zvraznenie"/>
          <w:i w:val="0"/>
          <w:iCs/>
        </w:rPr>
      </w:pPr>
      <w:r w:rsidRPr="00744D36">
        <w:rPr>
          <w:rStyle w:val="Zvraznenie"/>
          <w:i w:val="0"/>
          <w:iCs/>
        </w:rPr>
        <w:t>Normy STN</w:t>
      </w:r>
    </w:p>
    <w:p w14:paraId="1986200B" w14:textId="77777777" w:rsidR="00780750" w:rsidRPr="00744D36" w:rsidRDefault="00780750" w:rsidP="00780750">
      <w:pPr>
        <w:rPr>
          <w:rStyle w:val="Zvraznenie"/>
          <w:i w:val="0"/>
          <w:iCs/>
        </w:rPr>
      </w:pPr>
    </w:p>
    <w:p w14:paraId="7F9A32B6" w14:textId="4A363339" w:rsidR="00780750" w:rsidRPr="00744D36" w:rsidRDefault="00780750" w:rsidP="00780750">
      <w:pPr>
        <w:rPr>
          <w:rStyle w:val="Zvraznenie"/>
        </w:rPr>
      </w:pPr>
      <w:r w:rsidRPr="00744D36">
        <w:rPr>
          <w:rStyle w:val="Vrazn"/>
        </w:rPr>
        <w:t>STN EN 1991-1-1</w:t>
      </w:r>
      <w:r w:rsidRPr="00744D36">
        <w:rPr>
          <w:rStyle w:val="Zvraznenie"/>
        </w:rPr>
        <w:t xml:space="preserve"> (73 0035)</w:t>
      </w:r>
    </w:p>
    <w:p w14:paraId="73CECD36" w14:textId="5FA37937" w:rsidR="00780750" w:rsidRPr="00744D36" w:rsidRDefault="00780750" w:rsidP="00780750">
      <w:pPr>
        <w:pStyle w:val="Normlntun"/>
        <w:rPr>
          <w:rStyle w:val="Zvraznenie"/>
          <w:i w:val="0"/>
          <w:iCs/>
        </w:rPr>
      </w:pPr>
      <w:r w:rsidRPr="00744D36">
        <w:rPr>
          <w:rStyle w:val="Zvraznenie"/>
          <w:i w:val="0"/>
          <w:iCs/>
        </w:rPr>
        <w:t>Eurokód 1. Zaťaženia konštrukcií. Časť 1-1: Objemová tiaž materiálov, vlastná tiaž konštrukčných prvkov a úžitkové zaťaženia budov</w:t>
      </w:r>
    </w:p>
    <w:p w14:paraId="25360033" w14:textId="0B085C1A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Dátum vydania:</w:t>
      </w:r>
      <w:r w:rsidRPr="00744D36">
        <w:rPr>
          <w:rStyle w:val="Obyejn"/>
        </w:rPr>
        <w:t xml:space="preserve"> 01.10.2026</w:t>
      </w:r>
      <w:r w:rsidRPr="00744D36">
        <w:rPr>
          <w:rStyle w:val="Obyejn"/>
        </w:rPr>
        <w:tab/>
      </w:r>
      <w:r w:rsidRPr="00744D36">
        <w:rPr>
          <w:rStyle w:val="Obyejn"/>
        </w:rPr>
        <w:tab/>
      </w:r>
      <w:r w:rsidRPr="00744D36">
        <w:rPr>
          <w:rStyle w:val="Vrazn"/>
        </w:rPr>
        <w:t>Dátum zrušenia:</w:t>
      </w:r>
      <w:r w:rsidRPr="00744D36">
        <w:rPr>
          <w:rStyle w:val="Obyejn"/>
        </w:rPr>
        <w:t xml:space="preserve"> </w:t>
      </w:r>
    </w:p>
    <w:p w14:paraId="62CD462D" w14:textId="0D4CA417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Dátum schválenia:</w:t>
      </w:r>
      <w:r w:rsidRPr="00744D36">
        <w:rPr>
          <w:rStyle w:val="Obyejn"/>
        </w:rPr>
        <w:t xml:space="preserve"> 06.07.2026</w:t>
      </w:r>
      <w:r w:rsidRPr="00744D36">
        <w:rPr>
          <w:rStyle w:val="Obyejn"/>
        </w:rPr>
        <w:tab/>
      </w:r>
      <w:r w:rsidRPr="00744D36">
        <w:rPr>
          <w:rStyle w:val="Vrazn"/>
        </w:rPr>
        <w:t>Dátum účinnosti:</w:t>
      </w:r>
      <w:r w:rsidRPr="00744D36">
        <w:rPr>
          <w:rStyle w:val="Obyejn"/>
        </w:rPr>
        <w:t xml:space="preserve"> </w:t>
      </w:r>
    </w:p>
    <w:p w14:paraId="37CEB1CB" w14:textId="5DC1E52A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Úroveň zapracovania:</w:t>
      </w:r>
      <w:r w:rsidRPr="00744D36">
        <w:rPr>
          <w:rStyle w:val="Obyejn"/>
        </w:rPr>
        <w:t xml:space="preserve"> idt. EN 1991-1-1: 2025</w:t>
      </w:r>
    </w:p>
    <w:p w14:paraId="6965F102" w14:textId="443122A1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Spôsob prevzatia:</w:t>
      </w:r>
      <w:r w:rsidRPr="00744D36">
        <w:rPr>
          <w:rStyle w:val="Obyejn"/>
        </w:rPr>
        <w:t xml:space="preserve"> Prekladom</w:t>
      </w:r>
      <w:r w:rsidRPr="00744D36">
        <w:rPr>
          <w:rStyle w:val="Obyejn"/>
        </w:rPr>
        <w:tab/>
      </w:r>
      <w:r w:rsidRPr="00744D36">
        <w:rPr>
          <w:rStyle w:val="Vrazn"/>
        </w:rPr>
        <w:t>Jazyk:</w:t>
      </w:r>
      <w:r w:rsidRPr="00744D36">
        <w:rPr>
          <w:rStyle w:val="Obyejn"/>
        </w:rPr>
        <w:t xml:space="preserve"> sk</w:t>
      </w:r>
    </w:p>
    <w:p w14:paraId="25B350C6" w14:textId="70B0EC39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Nahradené normy:</w:t>
      </w:r>
      <w:r w:rsidRPr="00744D36">
        <w:rPr>
          <w:rStyle w:val="Obyejn"/>
        </w:rPr>
        <w:t xml:space="preserve"> STN EN 1991-1-1/NA: 2004, STN EN 1991-1-1: 2007</w:t>
      </w:r>
    </w:p>
    <w:p w14:paraId="52A11F03" w14:textId="5C10A1E2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Čiastočne nahradené normy:</w:t>
      </w:r>
      <w:r w:rsidRPr="00744D36">
        <w:rPr>
          <w:rStyle w:val="Obyejn"/>
        </w:rPr>
        <w:t xml:space="preserve"> </w:t>
      </w:r>
    </w:p>
    <w:p w14:paraId="1C7D8DDA" w14:textId="78EF16E7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Právne predpisy:</w:t>
      </w:r>
      <w:r w:rsidRPr="00744D36">
        <w:rPr>
          <w:rStyle w:val="Obyejn"/>
        </w:rPr>
        <w:t xml:space="preserve"> </w:t>
      </w:r>
    </w:p>
    <w:p w14:paraId="6E607C14" w14:textId="1358DFDE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Predmet normy:</w:t>
      </w:r>
      <w:r w:rsidRPr="00744D36">
        <w:rPr>
          <w:rStyle w:val="Obyejn"/>
        </w:rPr>
        <w:t xml:space="preserve"> 1.1 Predmet: (1) EN 1991-1-1 uvádza návrhový postup a zaťaženia pre navrhovanie konštrukcií budov a inžinierskych stavieb vrátane niektorých geotechnických hľadísk pre: objemovú tiaž stavebných a skladovaných materiálov; vlastnú tiaž stavebných prvkov; úžitkové zaťaženia budov. (2) Uvádza stredné hodnoty objemovej tiaže konkrétnych stavebných materiálov, doplnkových materiálov pre mosty, skladovaných materiálov a výrobkov. Okrem toho je pre špecifické materiály a výrobky uvedený uhol uloženia. (3) Poskytuje postupy na odhad charakteristických hodnôt vlastnej tiaže stavebných objektov. (4) Uvádza charakteristické hodnoty úžitkových zaťažení pre nižšie uvedené plochy v budovách vzhľadom na ich kategóriu využitia: obytné, zhromažďovacie, obchodné a administratívne plochy; plochy pre archív, skladovanie a na priemyselné činnosti; garáže a plochy s premávkou vozidiel (s výnimkou mostov); strechy; schody a podesty; terasy a balkóny. (5) Uvádza charakteristické hodnoty vodorovného úžitkového zaťaženia pre...</w:t>
      </w:r>
    </w:p>
    <w:p w14:paraId="7E043504" w14:textId="0272CD53" w:rsidR="00780750" w:rsidRPr="00744D36" w:rsidRDefault="00780750" w:rsidP="00780750">
      <w:pPr>
        <w:pStyle w:val="Normlnkurzva"/>
        <w:rPr>
          <w:rStyle w:val="Zvraznenie"/>
          <w:i/>
          <w:iCs/>
        </w:rPr>
      </w:pPr>
      <w:r w:rsidRPr="00744D36">
        <w:rPr>
          <w:rStyle w:val="Zvraznenie"/>
          <w:i/>
          <w:iCs/>
        </w:rPr>
        <w:t>Cenová skupina: 6</w:t>
      </w:r>
      <w:r w:rsidRPr="00744D36">
        <w:rPr>
          <w:rStyle w:val="Zvraznenie"/>
          <w:i/>
          <w:iCs/>
        </w:rPr>
        <w:tab/>
        <w:t>Počet strán: 44</w:t>
      </w:r>
    </w:p>
    <w:p w14:paraId="47608ABF" w14:textId="77777777" w:rsidR="00BE60DC" w:rsidRPr="00744D36" w:rsidRDefault="00BE60DC" w:rsidP="00780750">
      <w:pPr>
        <w:rPr>
          <w:rStyle w:val="Vrazn"/>
        </w:rPr>
      </w:pPr>
    </w:p>
    <w:p w14:paraId="29FB16AA" w14:textId="1B27226E" w:rsidR="00780750" w:rsidRPr="00744D36" w:rsidRDefault="00780750" w:rsidP="00780750">
      <w:pPr>
        <w:rPr>
          <w:rStyle w:val="Zvraznenie"/>
        </w:rPr>
      </w:pPr>
      <w:r w:rsidRPr="00744D36">
        <w:rPr>
          <w:rStyle w:val="Vrazn"/>
        </w:rPr>
        <w:t>STN EN 1991-1-3</w:t>
      </w:r>
      <w:r w:rsidRPr="00744D36">
        <w:rPr>
          <w:rStyle w:val="Zvraznenie"/>
        </w:rPr>
        <w:t xml:space="preserve"> (73 0035)</w:t>
      </w:r>
    </w:p>
    <w:p w14:paraId="1EBD1025" w14:textId="56211031" w:rsidR="00780750" w:rsidRPr="00744D36" w:rsidRDefault="00780750" w:rsidP="00780750">
      <w:pPr>
        <w:pStyle w:val="Normlntun"/>
        <w:rPr>
          <w:rStyle w:val="Zvraznenie"/>
          <w:i w:val="0"/>
          <w:iCs/>
        </w:rPr>
      </w:pPr>
      <w:r w:rsidRPr="00744D36">
        <w:rPr>
          <w:rStyle w:val="Zvraznenie"/>
          <w:i w:val="0"/>
          <w:iCs/>
        </w:rPr>
        <w:t>Eurokód 1. Zaťaženia konštrukcií. Časť 1-3: Zaťaženia snehom</w:t>
      </w:r>
    </w:p>
    <w:p w14:paraId="68CECA86" w14:textId="21A42FD3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Dátum vydania:</w:t>
      </w:r>
      <w:r w:rsidRPr="00744D36">
        <w:rPr>
          <w:rStyle w:val="Obyejn"/>
        </w:rPr>
        <w:t xml:space="preserve"> 01.10.2026</w:t>
      </w:r>
      <w:r w:rsidRPr="00744D36">
        <w:rPr>
          <w:rStyle w:val="Obyejn"/>
        </w:rPr>
        <w:tab/>
      </w:r>
      <w:r w:rsidRPr="00744D36">
        <w:rPr>
          <w:rStyle w:val="Obyejn"/>
        </w:rPr>
        <w:tab/>
      </w:r>
      <w:r w:rsidRPr="00744D36">
        <w:rPr>
          <w:rStyle w:val="Vrazn"/>
        </w:rPr>
        <w:t>Dátum zrušenia:</w:t>
      </w:r>
      <w:r w:rsidRPr="00744D36">
        <w:rPr>
          <w:rStyle w:val="Obyejn"/>
        </w:rPr>
        <w:t xml:space="preserve"> </w:t>
      </w:r>
    </w:p>
    <w:p w14:paraId="404F7086" w14:textId="6C232D8F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Dátum schválenia:</w:t>
      </w:r>
      <w:r w:rsidRPr="00744D36">
        <w:rPr>
          <w:rStyle w:val="Obyejn"/>
        </w:rPr>
        <w:t xml:space="preserve"> 06.07.2026</w:t>
      </w:r>
      <w:r w:rsidRPr="00744D36">
        <w:rPr>
          <w:rStyle w:val="Obyejn"/>
        </w:rPr>
        <w:tab/>
      </w:r>
      <w:r w:rsidRPr="00744D36">
        <w:rPr>
          <w:rStyle w:val="Vrazn"/>
        </w:rPr>
        <w:t>Dátum účinnosti:</w:t>
      </w:r>
      <w:r w:rsidRPr="00744D36">
        <w:rPr>
          <w:rStyle w:val="Obyejn"/>
        </w:rPr>
        <w:t xml:space="preserve"> </w:t>
      </w:r>
    </w:p>
    <w:p w14:paraId="044A45BB" w14:textId="336546E5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Úroveň zapracovania:</w:t>
      </w:r>
      <w:r w:rsidRPr="00744D36">
        <w:rPr>
          <w:rStyle w:val="Obyejn"/>
        </w:rPr>
        <w:t xml:space="preserve"> idt. EN 1991-1-3: 2025</w:t>
      </w:r>
    </w:p>
    <w:p w14:paraId="5254D5A4" w14:textId="4025CAB7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Spôsob prevzatia:</w:t>
      </w:r>
      <w:r w:rsidRPr="00744D36">
        <w:rPr>
          <w:rStyle w:val="Obyejn"/>
        </w:rPr>
        <w:t xml:space="preserve"> Prekladom</w:t>
      </w:r>
      <w:r w:rsidRPr="00744D36">
        <w:rPr>
          <w:rStyle w:val="Obyejn"/>
        </w:rPr>
        <w:tab/>
      </w:r>
      <w:r w:rsidRPr="00744D36">
        <w:rPr>
          <w:rStyle w:val="Vrazn"/>
        </w:rPr>
        <w:t>Jazyk:</w:t>
      </w:r>
      <w:r w:rsidRPr="00744D36">
        <w:rPr>
          <w:rStyle w:val="Obyejn"/>
        </w:rPr>
        <w:t xml:space="preserve"> sk</w:t>
      </w:r>
    </w:p>
    <w:p w14:paraId="6A8D9EBF" w14:textId="3DB67A6B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Nahradené normy:</w:t>
      </w:r>
      <w:r w:rsidRPr="00744D36">
        <w:rPr>
          <w:rStyle w:val="Obyejn"/>
        </w:rPr>
        <w:t xml:space="preserve"> STN EN 1991-1-3: 2007</w:t>
      </w:r>
    </w:p>
    <w:p w14:paraId="708CDBA8" w14:textId="6339C381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Čiastočne nahradené normy:</w:t>
      </w:r>
      <w:r w:rsidRPr="00744D36">
        <w:rPr>
          <w:rStyle w:val="Obyejn"/>
        </w:rPr>
        <w:t xml:space="preserve"> </w:t>
      </w:r>
    </w:p>
    <w:p w14:paraId="4C30802F" w14:textId="07490600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Právne predpisy:</w:t>
      </w:r>
      <w:r w:rsidRPr="00744D36">
        <w:rPr>
          <w:rStyle w:val="Obyejn"/>
        </w:rPr>
        <w:t xml:space="preserve"> </w:t>
      </w:r>
    </w:p>
    <w:p w14:paraId="6DD54E32" w14:textId="6EEC87DD" w:rsidR="00780750" w:rsidRPr="00744D36" w:rsidRDefault="00780750" w:rsidP="00780750">
      <w:pPr>
        <w:rPr>
          <w:rStyle w:val="Obyejn"/>
        </w:rPr>
      </w:pPr>
      <w:r w:rsidRPr="00744D36">
        <w:rPr>
          <w:rStyle w:val="Vrazn"/>
        </w:rPr>
        <w:t>Predmet normy:</w:t>
      </w:r>
      <w:r w:rsidRPr="00744D36">
        <w:rPr>
          <w:rStyle w:val="Obyejn"/>
        </w:rPr>
        <w:t xml:space="preserve"> 1.1 Predmet: (1) EN 1991-1-3 poskytuje princípy a pravidlá pre stanovenie hodnoty zaťažení spôsobených snehom, aby boli použité pri konštrukčnom návrhu budov a inžinierskych stavieb.  (2) Tento dokument nemôže byť použitý ako návod v oblastiach s nadmorskou výškou nad 1 500 m, pokiaľ nie je stanovené iným spôsobom. (3) Tento dokument neposkytuje návod pre špeciálne stavy zaťaženia snehom pre prípady: rázového zaťaženia snehom spôsobeného zošmyknutím alebo pádom snehu z vyššej strechy; zmien tvaru alebo veľkosti stavby spôsobených výskytom snehu alebo zväčšovaním námrazy, ktoré môžu vyvolať účinky pôsobenia vetra; zaťaženia snehom v oblastiach, v ktorých je výskyt snehu počas celého roku; bočného zaťaženia spôsobené zosuvom snehu (napr. bočné zaťaženia spôsobené závejmi); zaťaženia spôsobeného umelým snehom. 1.2 Predpoklady Uplatňujú sa predpoklady uvedené v EN 1990: 2023, 1.2.</w:t>
      </w:r>
    </w:p>
    <w:p w14:paraId="412BCF63" w14:textId="48BFCD9A" w:rsidR="00780750" w:rsidRDefault="00780750" w:rsidP="00780750">
      <w:pPr>
        <w:pStyle w:val="Normlnkurzva"/>
        <w:rPr>
          <w:rStyle w:val="Zvraznenie"/>
          <w:i/>
          <w:iCs/>
        </w:rPr>
      </w:pPr>
      <w:r w:rsidRPr="00744D36">
        <w:rPr>
          <w:rStyle w:val="Zvraznenie"/>
          <w:i/>
          <w:iCs/>
        </w:rPr>
        <w:t>Cenová skupina: 6</w:t>
      </w:r>
      <w:r w:rsidRPr="00744D36">
        <w:rPr>
          <w:rStyle w:val="Zvraznenie"/>
          <w:i/>
          <w:iCs/>
        </w:rPr>
        <w:tab/>
        <w:t>Počet strán: 44</w:t>
      </w:r>
    </w:p>
    <w:p w14:paraId="783D1FDA" w14:textId="77777777" w:rsidR="00780750" w:rsidRDefault="00780750" w:rsidP="00780750">
      <w:pPr>
        <w:rPr>
          <w:rStyle w:val="Zvraznenie"/>
          <w:i w:val="0"/>
          <w:iCs/>
        </w:rPr>
      </w:pPr>
    </w:p>
    <w:p w14:paraId="2E22F758" w14:textId="77777777" w:rsidR="009B2FD5" w:rsidRDefault="009B2FD5" w:rsidP="009B2FD5">
      <w:pPr>
        <w:rPr>
          <w:rStyle w:val="Zvraznenie"/>
          <w:i w:val="0"/>
          <w:iCs/>
        </w:rPr>
      </w:pPr>
    </w:p>
    <w:sectPr w:rsidR="009B2FD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63B17" w14:textId="77777777" w:rsidR="00D7393F" w:rsidRDefault="00D7393F">
      <w:r>
        <w:separator/>
      </w:r>
    </w:p>
  </w:endnote>
  <w:endnote w:type="continuationSeparator" w:id="0">
    <w:p w14:paraId="7D5CFFC0" w14:textId="77777777" w:rsidR="00D7393F" w:rsidRDefault="00D73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046B6" w14:textId="77777777" w:rsidR="00D7393F" w:rsidRDefault="00D7393F">
      <w:r>
        <w:separator/>
      </w:r>
    </w:p>
  </w:footnote>
  <w:footnote w:type="continuationSeparator" w:id="0">
    <w:p w14:paraId="44D37F89" w14:textId="77777777" w:rsidR="00D7393F" w:rsidRDefault="00D739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6E1"/>
    <w:rsid w:val="00206C36"/>
    <w:rsid w:val="005B2053"/>
    <w:rsid w:val="00744D36"/>
    <w:rsid w:val="00780750"/>
    <w:rsid w:val="008314F9"/>
    <w:rsid w:val="0083762B"/>
    <w:rsid w:val="008A214A"/>
    <w:rsid w:val="008B06E1"/>
    <w:rsid w:val="009538BD"/>
    <w:rsid w:val="009A7C98"/>
    <w:rsid w:val="009B2FD5"/>
    <w:rsid w:val="00A65982"/>
    <w:rsid w:val="00BE60DC"/>
    <w:rsid w:val="00C45ACF"/>
    <w:rsid w:val="00D7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BF226"/>
  <w15:chartTrackingRefBased/>
  <w15:docId w15:val="{30350DD7-A9D9-4921-B78F-F9F1657C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aliases w:val="Normální"/>
    <w:qFormat/>
    <w:rPr>
      <w:sz w:val="24"/>
      <w:lang w:val="cs-CZ" w:eastAsia="cs-CZ"/>
    </w:rPr>
  </w:style>
  <w:style w:type="paragraph" w:styleId="Nadpis1">
    <w:name w:val="heading 1"/>
    <w:basedOn w:val="Normlny"/>
    <w:next w:val="Normlny"/>
    <w:qFormat/>
    <w:pPr>
      <w:keepNext/>
      <w:spacing w:after="240"/>
      <w:jc w:val="center"/>
      <w:outlineLvl w:val="0"/>
    </w:pPr>
    <w:rPr>
      <w:b/>
      <w:kern w:val="28"/>
      <w:sz w:val="28"/>
    </w:rPr>
  </w:style>
  <w:style w:type="paragraph" w:styleId="Nadpis3">
    <w:name w:val="heading 3"/>
    <w:basedOn w:val="Normlny"/>
    <w:next w:val="Normlny"/>
    <w:qFormat/>
    <w:pPr>
      <w:keepNext/>
      <w:spacing w:after="120"/>
      <w:jc w:val="center"/>
      <w:outlineLvl w:val="2"/>
    </w:pPr>
    <w:rPr>
      <w:b/>
      <w:i/>
    </w:rPr>
  </w:style>
  <w:style w:type="paragraph" w:styleId="Nadpis9">
    <w:name w:val="heading 9"/>
    <w:basedOn w:val="Normlny"/>
    <w:next w:val="Normlny"/>
    <w:qFormat/>
    <w:pPr>
      <w:spacing w:before="240" w:after="60"/>
      <w:outlineLvl w:val="8"/>
    </w:pPr>
    <w:rPr>
      <w:rFonts w:ascii="Arial" w:hAnsi="Arial"/>
      <w:b/>
      <w:i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"/>
    <w:basedOn w:val="Normlny"/>
    <w:pPr>
      <w:tabs>
        <w:tab w:val="center" w:pos="4536"/>
        <w:tab w:val="right" w:pos="9072"/>
      </w:tabs>
    </w:pPr>
  </w:style>
  <w:style w:type="paragraph" w:customStyle="1" w:styleId="Normlntun">
    <w:name w:val="Normální tučný"/>
    <w:basedOn w:val="Normlny"/>
    <w:next w:val="Normlny"/>
    <w:autoRedefine/>
    <w:rPr>
      <w:b/>
    </w:rPr>
  </w:style>
  <w:style w:type="paragraph" w:customStyle="1" w:styleId="Normlnkurzva">
    <w:name w:val="Normální kurzíva"/>
    <w:basedOn w:val="Normlny"/>
    <w:next w:val="Normlny"/>
    <w:autoRedefine/>
    <w:rPr>
      <w:i/>
    </w:rPr>
  </w:style>
  <w:style w:type="character" w:styleId="Vrazn">
    <w:name w:val="Strong"/>
    <w:aliases w:val="Silné"/>
    <w:basedOn w:val="Predvolenpsmoodseku"/>
    <w:qFormat/>
    <w:rPr>
      <w:b/>
    </w:rPr>
  </w:style>
  <w:style w:type="character" w:styleId="Zvraznenie">
    <w:name w:val="Emphasis"/>
    <w:aliases w:val="Zvýraznění"/>
    <w:basedOn w:val="Predvolenpsmoodseku"/>
    <w:qFormat/>
    <w:rPr>
      <w:i/>
    </w:rPr>
  </w:style>
  <w:style w:type="character" w:customStyle="1" w:styleId="Obyejn">
    <w:name w:val="Obyčejný"/>
    <w:basedOn w:val="Predvolenpsmoodseku"/>
    <w:rPr>
      <w:rFonts w:ascii="Times New Roman" w:hAnsi="Times New Roman"/>
      <w:sz w:val="24"/>
    </w:rPr>
  </w:style>
  <w:style w:type="paragraph" w:customStyle="1" w:styleId="STN">
    <w:name w:val="SÚTN"/>
    <w:basedOn w:val="Normlny"/>
    <w:next w:val="Normlnstred"/>
    <w:pPr>
      <w:spacing w:before="120" w:after="240"/>
      <w:jc w:val="center"/>
    </w:pPr>
    <w:rPr>
      <w:b/>
      <w:spacing w:val="26"/>
      <w:w w:val="99"/>
      <w:sz w:val="32"/>
    </w:rPr>
  </w:style>
  <w:style w:type="paragraph" w:customStyle="1" w:styleId="Normlnstred">
    <w:name w:val="Normální stred"/>
    <w:basedOn w:val="Normlny"/>
    <w:pPr>
      <w:jc w:val="center"/>
    </w:pPr>
  </w:style>
  <w:style w:type="paragraph" w:customStyle="1" w:styleId="Ponuka">
    <w:name w:val="Ponuka"/>
    <w:basedOn w:val="Normlny"/>
    <w:next w:val="Normlnstred"/>
    <w:pPr>
      <w:spacing w:before="360" w:after="360"/>
      <w:jc w:val="center"/>
    </w:pPr>
    <w:rPr>
      <w:b/>
      <w:spacing w:val="24"/>
      <w:sz w:val="36"/>
    </w:rPr>
  </w:style>
  <w:style w:type="paragraph" w:customStyle="1" w:styleId="Normlnsrou">
    <w:name w:val="Normální s čárou"/>
    <w:basedOn w:val="Normlny"/>
    <w:next w:val="Normlny"/>
    <w:pPr>
      <w:pBdr>
        <w:bottom w:val="single" w:sz="12" w:space="1" w:color="auto"/>
      </w:pBdr>
    </w:pPr>
  </w:style>
  <w:style w:type="paragraph" w:customStyle="1" w:styleId="Tabulka">
    <w:name w:val="Tabulka"/>
    <w:basedOn w:val="Normlny"/>
    <w:pPr>
      <w:spacing w:after="120"/>
    </w:pPr>
    <w:rPr>
      <w:sz w:val="20"/>
    </w:rPr>
  </w:style>
  <w:style w:type="paragraph" w:customStyle="1" w:styleId="Tabulkastred">
    <w:name w:val="Tabulka stred"/>
    <w:basedOn w:val="Tabulka"/>
    <w:pPr>
      <w:spacing w:before="120"/>
      <w:jc w:val="center"/>
    </w:pPr>
  </w:style>
  <w:style w:type="paragraph" w:customStyle="1" w:styleId="Tabulkatun">
    <w:name w:val="Tabulka tučné"/>
    <w:basedOn w:val="Tabulka"/>
    <w:pPr>
      <w:spacing w:before="120" w:after="0"/>
    </w:pPr>
    <w:rPr>
      <w:b/>
    </w:rPr>
  </w:style>
  <w:style w:type="paragraph" w:customStyle="1" w:styleId="Tabulkastredtun">
    <w:name w:val="Tabulka stred tučné"/>
    <w:basedOn w:val="Tabulka"/>
    <w:pPr>
      <w:spacing w:before="120"/>
      <w:jc w:val="center"/>
    </w:pPr>
    <w:rPr>
      <w:b/>
    </w:rPr>
  </w:style>
  <w:style w:type="paragraph" w:customStyle="1" w:styleId="Nic">
    <w:name w:val="Nic"/>
    <w:basedOn w:val="Normlny"/>
    <w:next w:val="Normlny"/>
    <w:rPr>
      <w:color w:val="FFFFFF"/>
      <w:sz w:val="2"/>
    </w:rPr>
  </w:style>
  <w:style w:type="paragraph" w:styleId="Pta">
    <w:name w:val="footer"/>
    <w:aliases w:val="Zápatí"/>
    <w:basedOn w:val="Normlny"/>
    <w:pPr>
      <w:tabs>
        <w:tab w:val="center" w:pos="4536"/>
        <w:tab w:val="right" w:pos="9072"/>
      </w:tabs>
    </w:pPr>
    <w:rPr>
      <w:sz w:val="20"/>
    </w:rPr>
  </w:style>
  <w:style w:type="paragraph" w:customStyle="1" w:styleId="Nic2">
    <w:name w:val="Nic2"/>
    <w:basedOn w:val="Nic"/>
    <w:next w:val="Normlny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Ponuka noriem</vt:lpstr>
    </vt:vector>
  </TitlesOfParts>
  <Company>SÚTN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Ponuka noriem</dc:title>
  <dc:subject/>
  <dc:creator>Veselovský Dávid</dc:creator>
  <cp:keywords/>
  <cp:lastModifiedBy>Veselovský Dávid</cp:lastModifiedBy>
  <cp:revision>2</cp:revision>
  <dcterms:created xsi:type="dcterms:W3CDTF">2026-10-06T08:12:00Z</dcterms:created>
  <dcterms:modified xsi:type="dcterms:W3CDTF">2026-10-06T08:12:00Z</dcterms:modified>
</cp:coreProperties>
</file>