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24" w:rsidRPr="00B45324" w:rsidRDefault="00B45324" w:rsidP="00B45324">
      <w:pPr>
        <w:jc w:val="center"/>
        <w:rPr>
          <w:rStyle w:val="Vrazn"/>
          <w:b w:val="0"/>
          <w:sz w:val="28"/>
          <w:szCs w:val="28"/>
        </w:rPr>
      </w:pPr>
      <w:r w:rsidRPr="00B45324">
        <w:rPr>
          <w:rStyle w:val="Vrazn"/>
          <w:b w:val="0"/>
          <w:sz w:val="28"/>
          <w:szCs w:val="28"/>
        </w:rPr>
        <w:t>Normy STN</w:t>
      </w:r>
    </w:p>
    <w:p w:rsidR="00B45324" w:rsidRDefault="00B45324" w:rsidP="00B45324">
      <w:pPr>
        <w:rPr>
          <w:rStyle w:val="Vrazn"/>
        </w:rPr>
      </w:pPr>
      <w:bookmarkStart w:id="0" w:name="_GoBack"/>
      <w:bookmarkEnd w:id="0"/>
    </w:p>
    <w:p w:rsidR="00B45324" w:rsidRDefault="00B45324" w:rsidP="00B45324">
      <w:pPr>
        <w:rPr>
          <w:rStyle w:val="Zvraznenie"/>
        </w:rPr>
      </w:pPr>
      <w:r w:rsidRPr="005B4271">
        <w:rPr>
          <w:rStyle w:val="Vrazn"/>
        </w:rPr>
        <w:t>STN ISO 17123-6</w:t>
      </w:r>
      <w:r w:rsidRPr="005B4271">
        <w:rPr>
          <w:rStyle w:val="Zvraznenie"/>
        </w:rPr>
        <w:t xml:space="preserve"> (73 0212)</w:t>
      </w:r>
    </w:p>
    <w:p w:rsidR="00B45324" w:rsidRPr="00B45324" w:rsidRDefault="00B45324" w:rsidP="00B45324">
      <w:pPr>
        <w:pStyle w:val="Normlntun"/>
        <w:rPr>
          <w:rStyle w:val="Zvraznenie"/>
          <w:i w:val="0"/>
          <w:iCs w:val="0"/>
        </w:rPr>
      </w:pPr>
      <w:r w:rsidRPr="00B45324">
        <w:rPr>
          <w:rStyle w:val="Zvraznenie"/>
          <w:i w:val="0"/>
        </w:rPr>
        <w:t>Optika a optické prístroje. Postupy na skúšanie geodetických prístrojov. Časť 6: Rotačné laserové prístroje *)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Dátum vydania:</w:t>
      </w:r>
      <w:r w:rsidRPr="005B4271">
        <w:rPr>
          <w:rStyle w:val="Obyejn"/>
        </w:rPr>
        <w:t xml:space="preserve"> </w:t>
      </w:r>
      <w:proofErr w:type="gramStart"/>
      <w:r w:rsidRPr="005B4271">
        <w:rPr>
          <w:rStyle w:val="Obyejn"/>
        </w:rPr>
        <w:t>01.11.2025</w:t>
      </w:r>
      <w:proofErr w:type="gramEnd"/>
      <w:r w:rsidRPr="005B4271">
        <w:rPr>
          <w:rStyle w:val="Obyejn"/>
        </w:rPr>
        <w:tab/>
      </w:r>
      <w:r w:rsidRPr="005B4271">
        <w:rPr>
          <w:rStyle w:val="Obyejn"/>
        </w:rPr>
        <w:tab/>
      </w:r>
      <w:r w:rsidRPr="005B4271">
        <w:rPr>
          <w:rStyle w:val="Vrazn"/>
        </w:rPr>
        <w:t>Dátum zrušenia: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Dátum schválenia:</w:t>
      </w:r>
      <w:r w:rsidRPr="005B4271">
        <w:rPr>
          <w:rStyle w:val="Obyejn"/>
        </w:rPr>
        <w:t xml:space="preserve"> </w:t>
      </w:r>
      <w:proofErr w:type="gramStart"/>
      <w:r w:rsidRPr="005B4271">
        <w:rPr>
          <w:rStyle w:val="Obyejn"/>
        </w:rPr>
        <w:t>19.08.2025</w:t>
      </w:r>
      <w:proofErr w:type="gramEnd"/>
      <w:r w:rsidRPr="005B4271">
        <w:rPr>
          <w:rStyle w:val="Obyejn"/>
        </w:rPr>
        <w:tab/>
      </w:r>
      <w:r w:rsidRPr="005B4271">
        <w:rPr>
          <w:rStyle w:val="Vrazn"/>
        </w:rPr>
        <w:t>Dátum účinnosti: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Úroveň zapracovania:</w:t>
      </w:r>
      <w:r w:rsidRPr="005B4271">
        <w:rPr>
          <w:rStyle w:val="Obyejn"/>
        </w:rPr>
        <w:t xml:space="preserve"> idt. ISO 17123-6: 2025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Spôsob prevzatia:</w:t>
      </w:r>
      <w:r w:rsidRPr="005B4271">
        <w:rPr>
          <w:rStyle w:val="Obyejn"/>
        </w:rPr>
        <w:t xml:space="preserve"> Prevzatie originálu</w:t>
      </w:r>
      <w:r w:rsidRPr="005B4271">
        <w:rPr>
          <w:rStyle w:val="Obyejn"/>
        </w:rPr>
        <w:tab/>
      </w:r>
      <w:r w:rsidRPr="005B4271">
        <w:rPr>
          <w:rStyle w:val="Vrazn"/>
        </w:rPr>
        <w:t>Jazyk:</w:t>
      </w:r>
      <w:r w:rsidRPr="005B4271">
        <w:rPr>
          <w:rStyle w:val="Obyejn"/>
        </w:rPr>
        <w:t xml:space="preserve"> en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Nahradené normy:</w:t>
      </w:r>
      <w:r w:rsidRPr="005B4271">
        <w:rPr>
          <w:rStyle w:val="Obyejn"/>
        </w:rPr>
        <w:t xml:space="preserve"> STN ISO 17123-6: 2023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Čiastočne nahradené normy: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Právne predpisy: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Predmet normy:</w:t>
      </w:r>
      <w:r w:rsidRPr="005B4271">
        <w:rPr>
          <w:rStyle w:val="Obyejn"/>
        </w:rPr>
        <w:t xml:space="preserve"> Tento dokument určuje terénne skúšobné postupy, ktoré sa použijú na určovanie a hodnotenie presnosti (opakovateľnosti) rotačných laserových prístrojov, neistoty výsledkov meraní získaných geodetickými prístrojmi a ich pomôckami, najmä pri nivelačných meraniach v stavebníctve a geodézií. Cieľom týchto skúšok je najmä overenie vhodnosti jednotlivých prístrojov pre príslušnú úlohu a ich schopnosti splniť požiadavky ďalších noriem. Uvedené postupy nie sú navrhnuté ako preberacie testy alebo hodnotenia výkonu prístrojov, ktoré sú prirodzene komplexnejšie. Tento dokument môže slúžiť ako jeden z prvých krokov v procese hodnotenia neistoty merania (meranej veličiny). Neistota výsledku merania závisí od množstva parametrov. Preto tento dokument rozlišuje medzi rôznymi kvalitatívnymi parametrami a cieľmi testovania, zahŕňajúc opakovateľnosť a reprodukovateľnosť (opakovateľnosť medzi dňami) a poskytuje dôkladné posúdenie všetkých potenciálnych zdrojov chýb, ako je špecifikované v ISO/IEC Guide 98-3 a ISO 17123-1.</w:t>
      </w:r>
    </w:p>
    <w:p w:rsidR="00B45324" w:rsidRPr="00B45324" w:rsidRDefault="00B45324" w:rsidP="00B45324">
      <w:pPr>
        <w:pStyle w:val="Normlnkurzva"/>
        <w:rPr>
          <w:rStyle w:val="Zvraznenie"/>
          <w:i/>
          <w:iCs/>
        </w:rPr>
      </w:pPr>
      <w:r w:rsidRPr="00B45324">
        <w:rPr>
          <w:rStyle w:val="Zvraznenie"/>
          <w:i/>
          <w:iCs/>
        </w:rPr>
        <w:t>Cenová skupina: 5</w:t>
      </w:r>
      <w:r w:rsidRPr="00B45324">
        <w:rPr>
          <w:rStyle w:val="Zvraznenie"/>
          <w:i/>
          <w:iCs/>
        </w:rPr>
        <w:tab/>
        <w:t>Počet strán: 36</w:t>
      </w:r>
    </w:p>
    <w:p w:rsidR="00B45324" w:rsidRPr="00B45324" w:rsidRDefault="00B45324" w:rsidP="00B45324">
      <w:pPr>
        <w:rPr>
          <w:rStyle w:val="Zvraznenie"/>
          <w:iCs/>
        </w:rPr>
      </w:pPr>
    </w:p>
    <w:p w:rsidR="00B45324" w:rsidRDefault="00B45324" w:rsidP="00B45324">
      <w:pPr>
        <w:rPr>
          <w:rStyle w:val="Zvraznenie"/>
        </w:rPr>
      </w:pPr>
      <w:r w:rsidRPr="005B4271">
        <w:rPr>
          <w:rStyle w:val="Vrazn"/>
        </w:rPr>
        <w:t>STN ISO 17123-11</w:t>
      </w:r>
      <w:r w:rsidRPr="005B4271">
        <w:rPr>
          <w:rStyle w:val="Zvraznenie"/>
        </w:rPr>
        <w:t xml:space="preserve"> (73 0212)</w:t>
      </w:r>
    </w:p>
    <w:p w:rsidR="00B45324" w:rsidRPr="00B45324" w:rsidRDefault="00B45324" w:rsidP="00B45324">
      <w:pPr>
        <w:pStyle w:val="Normlntun"/>
        <w:rPr>
          <w:rStyle w:val="Zvraznenie"/>
          <w:i w:val="0"/>
          <w:iCs w:val="0"/>
        </w:rPr>
      </w:pPr>
      <w:r w:rsidRPr="00B45324">
        <w:rPr>
          <w:rStyle w:val="Zvraznenie"/>
          <w:i w:val="0"/>
        </w:rPr>
        <w:t>Optika a optické prístroje. Postupy na skúšanie geodetických prístrojov. Časť 11: GNSS prístroje *)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Dátum vydania:</w:t>
      </w:r>
      <w:r w:rsidRPr="005B4271">
        <w:rPr>
          <w:rStyle w:val="Obyejn"/>
        </w:rPr>
        <w:t xml:space="preserve"> </w:t>
      </w:r>
      <w:proofErr w:type="gramStart"/>
      <w:r w:rsidRPr="005B4271">
        <w:rPr>
          <w:rStyle w:val="Obyejn"/>
        </w:rPr>
        <w:t>01.11.2025</w:t>
      </w:r>
      <w:proofErr w:type="gramEnd"/>
      <w:r w:rsidRPr="005B4271">
        <w:rPr>
          <w:rStyle w:val="Obyejn"/>
        </w:rPr>
        <w:tab/>
      </w:r>
      <w:r w:rsidRPr="005B4271">
        <w:rPr>
          <w:rStyle w:val="Obyejn"/>
        </w:rPr>
        <w:tab/>
      </w:r>
      <w:r w:rsidRPr="005B4271">
        <w:rPr>
          <w:rStyle w:val="Vrazn"/>
        </w:rPr>
        <w:t>Dátum zrušenia: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Dátum schválenia:</w:t>
      </w:r>
      <w:r w:rsidRPr="005B4271">
        <w:rPr>
          <w:rStyle w:val="Obyejn"/>
        </w:rPr>
        <w:t xml:space="preserve"> </w:t>
      </w:r>
      <w:proofErr w:type="gramStart"/>
      <w:r w:rsidRPr="005B4271">
        <w:rPr>
          <w:rStyle w:val="Obyejn"/>
        </w:rPr>
        <w:t>19.08.2025</w:t>
      </w:r>
      <w:proofErr w:type="gramEnd"/>
      <w:r w:rsidRPr="005B4271">
        <w:rPr>
          <w:rStyle w:val="Obyejn"/>
        </w:rPr>
        <w:tab/>
      </w:r>
      <w:r w:rsidRPr="005B4271">
        <w:rPr>
          <w:rStyle w:val="Vrazn"/>
        </w:rPr>
        <w:t>Dátum účinnosti: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Úroveň zapracovania:</w:t>
      </w:r>
      <w:r w:rsidRPr="005B4271">
        <w:rPr>
          <w:rStyle w:val="Obyejn"/>
        </w:rPr>
        <w:t xml:space="preserve"> idt. ISO 17123-11: 2025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Spôsob prevzatia:</w:t>
      </w:r>
      <w:r w:rsidRPr="005B4271">
        <w:rPr>
          <w:rStyle w:val="Obyejn"/>
        </w:rPr>
        <w:t xml:space="preserve"> Prevzatie originálu</w:t>
      </w:r>
      <w:r w:rsidRPr="005B4271">
        <w:rPr>
          <w:rStyle w:val="Obyejn"/>
        </w:rPr>
        <w:tab/>
      </w:r>
      <w:r w:rsidRPr="005B4271">
        <w:rPr>
          <w:rStyle w:val="Vrazn"/>
        </w:rPr>
        <w:t>Jazyk:</w:t>
      </w:r>
      <w:r w:rsidRPr="005B4271">
        <w:rPr>
          <w:rStyle w:val="Obyejn"/>
        </w:rPr>
        <w:t xml:space="preserve"> en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Nahradené normy: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Čiastočne nahradené normy: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Právne predpisy:</w:t>
      </w:r>
      <w:r w:rsidRPr="005B4271">
        <w:rPr>
          <w:rStyle w:val="Obyejn"/>
        </w:rPr>
        <w:t xml:space="preserve"> </w:t>
      </w:r>
    </w:p>
    <w:p w:rsidR="00B45324" w:rsidRDefault="00B45324" w:rsidP="00B45324">
      <w:pPr>
        <w:rPr>
          <w:rStyle w:val="Obyejn"/>
        </w:rPr>
      </w:pPr>
      <w:r w:rsidRPr="005B4271">
        <w:rPr>
          <w:rStyle w:val="Vrazn"/>
        </w:rPr>
        <w:t>Predmet normy:</w:t>
      </w:r>
      <w:r w:rsidRPr="005B4271">
        <w:rPr>
          <w:rStyle w:val="Obyejn"/>
        </w:rPr>
        <w:t xml:space="preserve"> Tento dokument spresňuje terénny postup na overenie, či daný systém a postup merania založený na globálnom navigačnom satelitnom systéme (GNSS) spĺňajú požadovanú neistotu merania v danom mieste a čase. Terénny postup využíva trojrozmerné súradnice, ktoré sa porovnávajú s referenčnými súradnicami. Je navrhnutý tak, aby bol použiteľný pre všetky technicky rôznorodé geodetické a meračské systémy GNSS dostupné na trhu a možno ho použiť pre akýkoľvek druh aplikácií na určenie súradníc využívajúcich GNSS. Je nezávislý od technológie použitej v meracom GNSS prístroji, satelitných dátových tokov a použitých korekcií. Postup je použiteľný pre GNSS prístroje v prevádzkových podmienkach v teréne takým spôsobom, že hlavné parametre, ktoré ovplyvňujú určenie súradníc, sú zahrnuté vo výsledku testu. Tento dokument stanovuje viaceré limitné kritériá, čo umožňuje jeho mnohostrannú použiteľnosť. V dôsledku toho je možné overovací postup vykonávať v teréne pravidelne, s nízkymi ekonomickými nákladmi.</w:t>
      </w:r>
    </w:p>
    <w:p w:rsidR="00B45324" w:rsidRPr="00B45324" w:rsidRDefault="00B45324" w:rsidP="00B45324">
      <w:pPr>
        <w:pStyle w:val="Normlnkurzva"/>
        <w:rPr>
          <w:rStyle w:val="Zvraznenie"/>
          <w:i/>
          <w:iCs/>
        </w:rPr>
      </w:pPr>
      <w:r w:rsidRPr="00B45324">
        <w:rPr>
          <w:rStyle w:val="Zvraznenie"/>
          <w:i/>
          <w:iCs/>
        </w:rPr>
        <w:t>Cenová skupina: 5</w:t>
      </w:r>
      <w:r w:rsidRPr="00B45324">
        <w:rPr>
          <w:rStyle w:val="Zvraznenie"/>
          <w:i/>
          <w:iCs/>
        </w:rPr>
        <w:tab/>
        <w:t>Počet strán: 36</w:t>
      </w:r>
    </w:p>
    <w:p w:rsidR="00300D8C" w:rsidRPr="00B45324" w:rsidRDefault="00300D8C">
      <w:pPr>
        <w:rPr>
          <w:i/>
        </w:rPr>
      </w:pPr>
    </w:p>
    <w:sectPr w:rsidR="00300D8C" w:rsidRPr="00B45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24"/>
    <w:rsid w:val="00300D8C"/>
    <w:rsid w:val="00B4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09EE"/>
  <w15:chartTrackingRefBased/>
  <w15:docId w15:val="{55D8F502-A3D7-4F74-AF4E-881B4D15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í"/>
    <w:qFormat/>
    <w:rsid w:val="00B4532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tun">
    <w:name w:val="Normální tučný"/>
    <w:basedOn w:val="Normlny"/>
    <w:next w:val="Normlny"/>
    <w:autoRedefine/>
    <w:rsid w:val="00B45324"/>
    <w:rPr>
      <w:b/>
      <w:iCs/>
    </w:rPr>
  </w:style>
  <w:style w:type="paragraph" w:customStyle="1" w:styleId="Normlnkurzva">
    <w:name w:val="Normální kurzíva"/>
    <w:basedOn w:val="Normlny"/>
    <w:next w:val="Normlny"/>
    <w:autoRedefine/>
    <w:rsid w:val="00B45324"/>
    <w:rPr>
      <w:i/>
    </w:rPr>
  </w:style>
  <w:style w:type="character" w:styleId="Vrazn">
    <w:name w:val="Strong"/>
    <w:aliases w:val="Silné"/>
    <w:basedOn w:val="Predvolenpsmoodseku"/>
    <w:qFormat/>
    <w:rsid w:val="00B45324"/>
    <w:rPr>
      <w:b/>
    </w:rPr>
  </w:style>
  <w:style w:type="character" w:styleId="Zvraznenie">
    <w:name w:val="Emphasis"/>
    <w:aliases w:val="Zvýraznění"/>
    <w:basedOn w:val="Predvolenpsmoodseku"/>
    <w:qFormat/>
    <w:rsid w:val="00B45324"/>
    <w:rPr>
      <w:i/>
    </w:rPr>
  </w:style>
  <w:style w:type="character" w:customStyle="1" w:styleId="Obyejn">
    <w:name w:val="Obyčejný"/>
    <w:basedOn w:val="Predvolenpsmoodseku"/>
    <w:rsid w:val="00B453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Garajová Jana</dc:creator>
  <cp:keywords/>
  <dc:description/>
  <cp:lastModifiedBy>Garajová Jana</cp:lastModifiedBy>
  <cp:revision>1</cp:revision>
  <dcterms:created xsi:type="dcterms:W3CDTF">2025-11-10T12:55:00Z</dcterms:created>
  <dcterms:modified xsi:type="dcterms:W3CDTF">2025-11-10T12:56:00Z</dcterms:modified>
</cp:coreProperties>
</file>