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5C72" w14:textId="76886B2C" w:rsidR="003E0D32" w:rsidRPr="006151B3" w:rsidRDefault="003E0D32" w:rsidP="00DC07C0">
      <w:pPr>
        <w:pStyle w:val="Nadpis1"/>
        <w:rPr>
          <w:rStyle w:val="Zvraznenie"/>
          <w:i w:val="0"/>
          <w:iCs/>
        </w:rPr>
      </w:pPr>
      <w:r>
        <w:rPr>
          <w:rStyle w:val="Zvraznenie"/>
          <w:i w:val="0"/>
          <w:iCs/>
        </w:rPr>
        <w:t>Normy STN</w:t>
      </w:r>
    </w:p>
    <w:p w14:paraId="0D3BC4C7" w14:textId="77777777" w:rsidR="005A0F39" w:rsidRPr="006151B3" w:rsidRDefault="005A0F39" w:rsidP="005A0F39">
      <w:pPr>
        <w:rPr>
          <w:rStyle w:val="Zvraznenie"/>
          <w:i w:val="0"/>
          <w:iCs/>
        </w:rPr>
      </w:pPr>
    </w:p>
    <w:p w14:paraId="095D47D8" w14:textId="5DAC6B57" w:rsidR="005A0F39" w:rsidRPr="006151B3" w:rsidRDefault="005A0F39" w:rsidP="005A0F39">
      <w:pPr>
        <w:rPr>
          <w:rStyle w:val="Zvraznenie"/>
        </w:rPr>
      </w:pPr>
      <w:r w:rsidRPr="006151B3">
        <w:rPr>
          <w:rStyle w:val="Vrazn"/>
        </w:rPr>
        <w:t>STN 92 0201-1</w:t>
      </w:r>
      <w:r w:rsidRPr="006151B3">
        <w:rPr>
          <w:rStyle w:val="Zvraznenie"/>
        </w:rPr>
        <w:t xml:space="preserve"> (92 0201)</w:t>
      </w:r>
    </w:p>
    <w:p w14:paraId="7A877F33" w14:textId="3B27C1BC" w:rsidR="005A0F39" w:rsidRPr="006151B3" w:rsidRDefault="005A0F39" w:rsidP="005A0F39">
      <w:pPr>
        <w:pStyle w:val="Normlntun"/>
        <w:rPr>
          <w:rStyle w:val="Zvraznenie"/>
          <w:i w:val="0"/>
          <w:iCs/>
        </w:rPr>
      </w:pPr>
      <w:r w:rsidRPr="006151B3">
        <w:rPr>
          <w:rStyle w:val="Zvraznenie"/>
          <w:i w:val="0"/>
          <w:iCs/>
        </w:rPr>
        <w:t>Požiarna bezpečnosť stavieb. Spoločné ustanovenia. Časť 1: Požiarne riziko, veľkosť požiarneho úseku</w:t>
      </w:r>
    </w:p>
    <w:p w14:paraId="5C0C3650" w14:textId="65A75076" w:rsidR="005A0F39" w:rsidRPr="006151B3" w:rsidRDefault="005A0F39" w:rsidP="005A0F39">
      <w:pPr>
        <w:rPr>
          <w:rStyle w:val="Obyejn"/>
        </w:rPr>
      </w:pPr>
      <w:r w:rsidRPr="006151B3">
        <w:rPr>
          <w:rStyle w:val="Vrazn"/>
        </w:rPr>
        <w:t>Dátum vydania:</w:t>
      </w:r>
      <w:r w:rsidRPr="006151B3">
        <w:rPr>
          <w:rStyle w:val="Obyejn"/>
        </w:rPr>
        <w:t xml:space="preserve"> 01.04.2026</w:t>
      </w:r>
      <w:r w:rsidRPr="006151B3">
        <w:rPr>
          <w:rStyle w:val="Obyejn"/>
        </w:rPr>
        <w:tab/>
      </w:r>
      <w:r w:rsidRPr="006151B3">
        <w:rPr>
          <w:rStyle w:val="Obyejn"/>
        </w:rPr>
        <w:tab/>
      </w:r>
      <w:r w:rsidRPr="006151B3">
        <w:rPr>
          <w:rStyle w:val="Vrazn"/>
        </w:rPr>
        <w:t>Dátum zrušenia:</w:t>
      </w:r>
      <w:r w:rsidRPr="006151B3">
        <w:rPr>
          <w:rStyle w:val="Obyejn"/>
        </w:rPr>
        <w:t xml:space="preserve"> </w:t>
      </w:r>
    </w:p>
    <w:p w14:paraId="066C8BF1" w14:textId="2E75D73E" w:rsidR="005A0F39" w:rsidRPr="006151B3" w:rsidRDefault="005A0F39" w:rsidP="005A0F39">
      <w:pPr>
        <w:rPr>
          <w:rStyle w:val="Obyejn"/>
        </w:rPr>
      </w:pPr>
      <w:r w:rsidRPr="006151B3">
        <w:rPr>
          <w:rStyle w:val="Vrazn"/>
        </w:rPr>
        <w:t>Dátum schválenia:</w:t>
      </w:r>
      <w:r w:rsidRPr="006151B3">
        <w:rPr>
          <w:rStyle w:val="Obyejn"/>
        </w:rPr>
        <w:t xml:space="preserve"> 07.11.2025</w:t>
      </w:r>
      <w:r w:rsidRPr="006151B3">
        <w:rPr>
          <w:rStyle w:val="Obyejn"/>
        </w:rPr>
        <w:tab/>
      </w:r>
      <w:r w:rsidRPr="006151B3">
        <w:rPr>
          <w:rStyle w:val="Vrazn"/>
        </w:rPr>
        <w:t>Dátum účinnosti:</w:t>
      </w:r>
      <w:r w:rsidRPr="006151B3">
        <w:rPr>
          <w:rStyle w:val="Obyejn"/>
        </w:rPr>
        <w:t xml:space="preserve"> </w:t>
      </w:r>
    </w:p>
    <w:p w14:paraId="1AD091B9" w14:textId="340B7973" w:rsidR="005A0F39" w:rsidRPr="006151B3" w:rsidRDefault="005A0F39" w:rsidP="005A0F39">
      <w:pPr>
        <w:rPr>
          <w:rStyle w:val="Obyejn"/>
        </w:rPr>
      </w:pPr>
      <w:r w:rsidRPr="006151B3">
        <w:rPr>
          <w:rStyle w:val="Vrazn"/>
        </w:rPr>
        <w:t>Úroveň zapracovania:</w:t>
      </w:r>
      <w:r w:rsidRPr="006151B3">
        <w:rPr>
          <w:rStyle w:val="Obyejn"/>
        </w:rPr>
        <w:t xml:space="preserve"> </w:t>
      </w:r>
    </w:p>
    <w:p w14:paraId="072870DA" w14:textId="232CEEB2" w:rsidR="005A0F39" w:rsidRPr="006151B3" w:rsidRDefault="005A0F39" w:rsidP="005A0F39">
      <w:pPr>
        <w:rPr>
          <w:rStyle w:val="Obyejn"/>
        </w:rPr>
      </w:pPr>
      <w:r w:rsidRPr="006151B3">
        <w:rPr>
          <w:rStyle w:val="Vrazn"/>
        </w:rPr>
        <w:t>Spôsob prevzatia:</w:t>
      </w:r>
      <w:r w:rsidRPr="006151B3">
        <w:rPr>
          <w:rStyle w:val="Obyejn"/>
        </w:rPr>
        <w:t xml:space="preserve"> Čistá STN</w:t>
      </w:r>
      <w:r w:rsidRPr="006151B3">
        <w:rPr>
          <w:rStyle w:val="Obyejn"/>
        </w:rPr>
        <w:tab/>
      </w:r>
      <w:r w:rsidRPr="006151B3">
        <w:rPr>
          <w:rStyle w:val="Vrazn"/>
        </w:rPr>
        <w:t>Jazyk:</w:t>
      </w:r>
      <w:r w:rsidRPr="006151B3">
        <w:rPr>
          <w:rStyle w:val="Obyejn"/>
        </w:rPr>
        <w:t xml:space="preserve"> sk</w:t>
      </w:r>
    </w:p>
    <w:p w14:paraId="2DEA65C0" w14:textId="18BEE1D4" w:rsidR="005A0F39" w:rsidRPr="006151B3" w:rsidRDefault="005A0F39" w:rsidP="005A0F39">
      <w:pPr>
        <w:rPr>
          <w:rStyle w:val="Obyejn"/>
        </w:rPr>
      </w:pPr>
      <w:r w:rsidRPr="006151B3">
        <w:rPr>
          <w:rStyle w:val="Vrazn"/>
        </w:rPr>
        <w:t>Nahradené normy:</w:t>
      </w:r>
      <w:r w:rsidRPr="006151B3">
        <w:rPr>
          <w:rStyle w:val="Obyejn"/>
        </w:rPr>
        <w:t xml:space="preserve"> STN 92 0201-1: 2000</w:t>
      </w:r>
    </w:p>
    <w:p w14:paraId="4CFBF57B" w14:textId="5A07F52E" w:rsidR="005A0F39" w:rsidRPr="006151B3" w:rsidRDefault="005A0F39" w:rsidP="005A0F39">
      <w:pPr>
        <w:rPr>
          <w:rStyle w:val="Obyejn"/>
        </w:rPr>
      </w:pPr>
      <w:r w:rsidRPr="006151B3">
        <w:rPr>
          <w:rStyle w:val="Vrazn"/>
        </w:rPr>
        <w:t>Čiastočne nahradené normy:</w:t>
      </w:r>
      <w:r w:rsidRPr="006151B3">
        <w:rPr>
          <w:rStyle w:val="Obyejn"/>
        </w:rPr>
        <w:t xml:space="preserve"> </w:t>
      </w:r>
    </w:p>
    <w:p w14:paraId="0E29AD7C" w14:textId="77777777" w:rsidR="005A0F39" w:rsidRPr="006151B3" w:rsidRDefault="005A0F39" w:rsidP="005A0F39">
      <w:pPr>
        <w:rPr>
          <w:rStyle w:val="Obyejn"/>
        </w:rPr>
      </w:pPr>
      <w:r w:rsidRPr="006151B3">
        <w:rPr>
          <w:rStyle w:val="Vrazn"/>
        </w:rPr>
        <w:t>Právne predpisy:</w:t>
      </w:r>
      <w:r w:rsidRPr="006151B3">
        <w:rPr>
          <w:rStyle w:val="Obyejn"/>
        </w:rPr>
        <w:t xml:space="preserve"> ^Anariadenie Európskeho parlamentu a Rady (EÚ) 2024/3110 z 27. novembra 2024,^Bktorým sa stanovujú harmonizované pravidlá uvádzania stavebných výrobkov na trh a zrušuje nariadenie (EÚ) č. 305/2011~^Azákon č. 314/2001 Z. z.^Bo ochrane pred požiarmi v znení neskorších predpisov~^Avyhláška Ministerstva vnútra Slovenskej republiky č. 121/2002 Z. z.^Bo požiarnej prevencii v znení neskorších predpisov~^Avyhláška Ministerstva vnútra Slovenskej republiky č. 726/2002 Z. z.,^Bktorou sa ustanovujú vlastnosti elektrickej požiarnej signalizácie, podmienky jej prevádzkovania a zabezpečenia jej pravidelnej kontroly v znení neskorších predpisov~^Avyhláška Ministerstva vnútra Slovenskej republiky č. 94/2004 Z. z.,^Bktorou sa ustanovujú technické požiadavky na protipožiarnu bezpečnosť pri výstavbe a pri užívaní stavieb v znení neskorších predpisov~^Avyhláška Ministerstva vnútra Slovenskej republiky č. 96/2004 Z. z.,^Bktorou sa ustanovujú zásady protipožiarnej bezpečnosti pri manipulácii a skladovaní horľavých kvapalín, ťažkých vykurovacích olejov a rastlinných a živočíšnych tukov a olejov v znení neskorších predpisov~^Avyhláška Ministerstva vnútra Slovenskej republiky č. 142/2004 Z. z.^Bo protipožiarnej bezpečnosti pri výstavbe a pri užívaní prevádzkarne a iných priestorov, v ktorých sa vykonáva povrchová úprava výrobkov náterovými látkami v znení neskorších predpisov~^Avyhláška Ministerstva vnútra Slovenskej republiky č. 169/2006 Z. z.^Bo konkrétnych vlastnostiach stabilného hasiaceho zariadenia a polostabilného hasiaceho zariadenia a o podmienkach ich prevádzkovania a zabezpečenia ich pravidelnej kontroly v znení neskorších predpisov~^Avyhláška Ministerstva vnútra Slovenskej republiky č. 611/2006 Z. z.^Bo hasičských jednotkách v znení neskorších predpisov v znení neskorších predpisov~^Avyhláška Ministerstva vnútra Slovenskej republiky č. 699/2004 Z. z.^Bo zabezpečení stavieb vodou na hasenie požiarov v znení neskorších predpisov</w:t>
      </w:r>
    </w:p>
    <w:p w14:paraId="3B884B8D" w14:textId="71A9DD53" w:rsidR="005A0F39" w:rsidRPr="006151B3" w:rsidRDefault="005A0F39" w:rsidP="005A0F39">
      <w:pPr>
        <w:rPr>
          <w:rStyle w:val="Zvraznenie"/>
          <w:i w:val="0"/>
          <w:iCs/>
        </w:rPr>
      </w:pPr>
    </w:p>
    <w:p w14:paraId="68552D81" w14:textId="2B4216BE" w:rsidR="005A0F39" w:rsidRPr="006151B3" w:rsidRDefault="005A0F39" w:rsidP="005A0F39">
      <w:pPr>
        <w:rPr>
          <w:rStyle w:val="Obyejn"/>
        </w:rPr>
      </w:pPr>
      <w:r w:rsidRPr="006151B3">
        <w:rPr>
          <w:rStyle w:val="Vrazn"/>
        </w:rPr>
        <w:t>Predmet normy:</w:t>
      </w:r>
      <w:r w:rsidRPr="006151B3">
        <w:rPr>
          <w:rStyle w:val="Obyejn"/>
        </w:rPr>
        <w:t xml:space="preserve"> Táto norma určuje postup pri stanovení požiarneho rizika a veľkosti požiarnych úsekov stavieb v zmysle platných právnych predpisov. Pre stavby, pre ktoré platia samostatné normy alebo predpisy obsahujúce požiadavky požiarnej bezpečnosti, platí táto norma v rozsahu, v ktorom sa tieto normy a predpisy na ňu odvolávajú.</w:t>
      </w:r>
    </w:p>
    <w:p w14:paraId="46D71BF3" w14:textId="45580601" w:rsidR="005A0F39" w:rsidRDefault="005A0F39" w:rsidP="005A0F39">
      <w:pPr>
        <w:pStyle w:val="Normlnkurzva"/>
        <w:rPr>
          <w:rStyle w:val="Zvraznenie"/>
          <w:i/>
          <w:iCs/>
        </w:rPr>
      </w:pPr>
      <w:r w:rsidRPr="006151B3">
        <w:rPr>
          <w:rStyle w:val="Zvraznenie"/>
          <w:i/>
          <w:iCs/>
        </w:rPr>
        <w:t>Cenová skupina: 9</w:t>
      </w:r>
      <w:r w:rsidRPr="006151B3">
        <w:rPr>
          <w:rStyle w:val="Zvraznenie"/>
          <w:i/>
          <w:iCs/>
        </w:rPr>
        <w:tab/>
        <w:t>Počet strán: 88</w:t>
      </w:r>
    </w:p>
    <w:p w14:paraId="45585290" w14:textId="77777777" w:rsidR="005A0F39" w:rsidRDefault="005A0F39" w:rsidP="005A0F39">
      <w:pPr>
        <w:rPr>
          <w:rStyle w:val="Zvraznenie"/>
          <w:i w:val="0"/>
          <w:iCs/>
        </w:rPr>
      </w:pPr>
    </w:p>
    <w:sectPr w:rsidR="005A0F3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CF6F" w14:textId="77777777" w:rsidR="00EF15AD" w:rsidRDefault="00EF15AD">
      <w:r>
        <w:separator/>
      </w:r>
    </w:p>
  </w:endnote>
  <w:endnote w:type="continuationSeparator" w:id="0">
    <w:p w14:paraId="06BCE9FC" w14:textId="77777777" w:rsidR="00EF15AD" w:rsidRDefault="00EF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1F1E" w14:textId="77777777" w:rsidR="00EF15AD" w:rsidRDefault="00EF15AD">
      <w:r>
        <w:separator/>
      </w:r>
    </w:p>
  </w:footnote>
  <w:footnote w:type="continuationSeparator" w:id="0">
    <w:p w14:paraId="61E95B6C" w14:textId="77777777" w:rsidR="00EF15AD" w:rsidRDefault="00EF1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AD"/>
    <w:rsid w:val="000F7411"/>
    <w:rsid w:val="00113266"/>
    <w:rsid w:val="00332070"/>
    <w:rsid w:val="003E0D32"/>
    <w:rsid w:val="0048062C"/>
    <w:rsid w:val="005A0F39"/>
    <w:rsid w:val="005B2053"/>
    <w:rsid w:val="006151B3"/>
    <w:rsid w:val="0062613C"/>
    <w:rsid w:val="00666806"/>
    <w:rsid w:val="009A7C98"/>
    <w:rsid w:val="009D0550"/>
    <w:rsid w:val="009D29F2"/>
    <w:rsid w:val="00A22DE6"/>
    <w:rsid w:val="00A47DB7"/>
    <w:rsid w:val="00DC07C0"/>
    <w:rsid w:val="00E75646"/>
    <w:rsid w:val="00EF15AD"/>
    <w:rsid w:val="00F50B55"/>
    <w:rsid w:val="00F96141"/>
    <w:rsid w:val="00F9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ECA75"/>
  <w15:chartTrackingRefBased/>
  <w15:docId w15:val="{0ABDAECC-B122-491F-AA6A-E68D494F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aliases w:val="Normální"/>
    <w:qFormat/>
    <w:rPr>
      <w:sz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spacing w:after="240"/>
      <w:jc w:val="center"/>
      <w:outlineLvl w:val="0"/>
    </w:pPr>
    <w:rPr>
      <w:b/>
      <w:kern w:val="28"/>
      <w:sz w:val="28"/>
    </w:rPr>
  </w:style>
  <w:style w:type="paragraph" w:styleId="Nadpis3">
    <w:name w:val="heading 3"/>
    <w:basedOn w:val="Normlny"/>
    <w:next w:val="Normlny"/>
    <w:qFormat/>
    <w:pPr>
      <w:keepNext/>
      <w:spacing w:after="120"/>
      <w:jc w:val="center"/>
      <w:outlineLvl w:val="2"/>
    </w:pPr>
    <w:rPr>
      <w:b/>
      <w:i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ascii="Arial" w:hAnsi="Arial"/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"/>
    <w:basedOn w:val="Normlny"/>
    <w:pPr>
      <w:tabs>
        <w:tab w:val="center" w:pos="4536"/>
        <w:tab w:val="right" w:pos="9072"/>
      </w:tabs>
    </w:pPr>
  </w:style>
  <w:style w:type="paragraph" w:customStyle="1" w:styleId="Normlntun">
    <w:name w:val="Normální tučný"/>
    <w:basedOn w:val="Normlny"/>
    <w:next w:val="Normlny"/>
    <w:autoRedefine/>
    <w:rPr>
      <w:b/>
    </w:rPr>
  </w:style>
  <w:style w:type="paragraph" w:customStyle="1" w:styleId="Normlnkurzva">
    <w:name w:val="Normální kurzíva"/>
    <w:basedOn w:val="Normlny"/>
    <w:next w:val="Normlny"/>
    <w:autoRedefine/>
    <w:rPr>
      <w:i/>
    </w:rPr>
  </w:style>
  <w:style w:type="character" w:styleId="Vrazn">
    <w:name w:val="Strong"/>
    <w:aliases w:val="Silné"/>
    <w:basedOn w:val="Predvolenpsmoodseku"/>
    <w:qFormat/>
    <w:rPr>
      <w:b/>
    </w:rPr>
  </w:style>
  <w:style w:type="character" w:styleId="Zvraznenie">
    <w:name w:val="Emphasis"/>
    <w:aliases w:val="Zvýraznění"/>
    <w:basedOn w:val="Predvolenpsmoodseku"/>
    <w:qFormat/>
    <w:rPr>
      <w:i/>
    </w:rPr>
  </w:style>
  <w:style w:type="character" w:customStyle="1" w:styleId="Obyejn">
    <w:name w:val="Obyčejný"/>
    <w:basedOn w:val="Predvolenpsmoodseku"/>
    <w:rPr>
      <w:rFonts w:ascii="Times New Roman" w:hAnsi="Times New Roman"/>
      <w:sz w:val="24"/>
    </w:rPr>
  </w:style>
  <w:style w:type="paragraph" w:customStyle="1" w:styleId="STN">
    <w:name w:val="SÚTN"/>
    <w:basedOn w:val="Normlny"/>
    <w:next w:val="Normlnstred"/>
    <w:pPr>
      <w:spacing w:before="120" w:after="240"/>
      <w:jc w:val="center"/>
    </w:pPr>
    <w:rPr>
      <w:b/>
      <w:spacing w:val="26"/>
      <w:w w:val="99"/>
      <w:sz w:val="32"/>
    </w:rPr>
  </w:style>
  <w:style w:type="paragraph" w:customStyle="1" w:styleId="Normlnstred">
    <w:name w:val="Normální stred"/>
    <w:basedOn w:val="Normlny"/>
    <w:pPr>
      <w:jc w:val="center"/>
    </w:pPr>
  </w:style>
  <w:style w:type="paragraph" w:customStyle="1" w:styleId="Ponuka">
    <w:name w:val="Ponuka"/>
    <w:basedOn w:val="Normlny"/>
    <w:next w:val="Normlnstred"/>
    <w:pPr>
      <w:spacing w:before="360" w:after="360"/>
      <w:jc w:val="center"/>
    </w:pPr>
    <w:rPr>
      <w:b/>
      <w:spacing w:val="24"/>
      <w:sz w:val="36"/>
    </w:rPr>
  </w:style>
  <w:style w:type="paragraph" w:customStyle="1" w:styleId="Normlnsrou">
    <w:name w:val="Normální s čárou"/>
    <w:basedOn w:val="Normlny"/>
    <w:next w:val="Normlny"/>
    <w:pPr>
      <w:pBdr>
        <w:bottom w:val="single" w:sz="12" w:space="1" w:color="auto"/>
      </w:pBdr>
    </w:pPr>
  </w:style>
  <w:style w:type="paragraph" w:customStyle="1" w:styleId="Tabulka">
    <w:name w:val="Tabulka"/>
    <w:basedOn w:val="Normlny"/>
    <w:pPr>
      <w:spacing w:after="120"/>
    </w:pPr>
    <w:rPr>
      <w:sz w:val="20"/>
    </w:rPr>
  </w:style>
  <w:style w:type="paragraph" w:customStyle="1" w:styleId="Tabulkastred">
    <w:name w:val="Tabulka stred"/>
    <w:basedOn w:val="Tabulka"/>
    <w:pPr>
      <w:spacing w:before="120"/>
      <w:jc w:val="center"/>
    </w:pPr>
  </w:style>
  <w:style w:type="paragraph" w:customStyle="1" w:styleId="Tabulkatun">
    <w:name w:val="Tabulka tučné"/>
    <w:basedOn w:val="Tabulka"/>
    <w:pPr>
      <w:spacing w:before="120" w:after="0"/>
    </w:pPr>
    <w:rPr>
      <w:b/>
    </w:rPr>
  </w:style>
  <w:style w:type="paragraph" w:customStyle="1" w:styleId="Tabulkastredtun">
    <w:name w:val="Tabulka stred tučné"/>
    <w:basedOn w:val="Tabulka"/>
    <w:pPr>
      <w:spacing w:before="120"/>
      <w:jc w:val="center"/>
    </w:pPr>
    <w:rPr>
      <w:b/>
    </w:rPr>
  </w:style>
  <w:style w:type="paragraph" w:customStyle="1" w:styleId="Nic">
    <w:name w:val="Nic"/>
    <w:basedOn w:val="Normlny"/>
    <w:next w:val="Normlny"/>
    <w:rPr>
      <w:color w:val="FFFFFF"/>
      <w:sz w:val="2"/>
    </w:rPr>
  </w:style>
  <w:style w:type="paragraph" w:styleId="Pta">
    <w:name w:val="footer"/>
    <w:aliases w:val="Zápatí"/>
    <w:basedOn w:val="Normlny"/>
    <w:pPr>
      <w:tabs>
        <w:tab w:val="center" w:pos="4536"/>
        <w:tab w:val="right" w:pos="9072"/>
      </w:tabs>
    </w:pPr>
    <w:rPr>
      <w:sz w:val="20"/>
    </w:rPr>
  </w:style>
  <w:style w:type="paragraph" w:customStyle="1" w:styleId="Nic2">
    <w:name w:val="Nic2"/>
    <w:basedOn w:val="Nic"/>
    <w:next w:val="Normlny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Ponuka noriem</vt:lpstr>
    </vt:vector>
  </TitlesOfParts>
  <Company>SÚTN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Ponuka noriem</dc:title>
  <dc:subject/>
  <dc:creator>Veselovský Dávid</dc:creator>
  <cp:keywords/>
  <cp:lastModifiedBy>Veselovský Dávid</cp:lastModifiedBy>
  <cp:revision>2</cp:revision>
  <dcterms:created xsi:type="dcterms:W3CDTF">2026-04-08T09:46:00Z</dcterms:created>
  <dcterms:modified xsi:type="dcterms:W3CDTF">2026-04-08T09:46:00Z</dcterms:modified>
</cp:coreProperties>
</file>