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0CF1" w14:textId="148475A3" w:rsidR="006318D6" w:rsidRDefault="006318D6" w:rsidP="006318D6">
      <w:pPr>
        <w:pStyle w:val="Nadpis1"/>
        <w:rPr>
          <w:rStyle w:val="Zvraznenie"/>
          <w:i w:val="0"/>
          <w:iCs/>
        </w:rPr>
      </w:pPr>
      <w:r>
        <w:rPr>
          <w:rStyle w:val="Zvraznenie"/>
          <w:i w:val="0"/>
          <w:iCs/>
        </w:rPr>
        <w:t>Normy STN</w:t>
      </w:r>
    </w:p>
    <w:p w14:paraId="3BCA6CB5" w14:textId="77777777" w:rsidR="00F617CC" w:rsidRDefault="00F617CC" w:rsidP="00F617CC">
      <w:pPr>
        <w:rPr>
          <w:rStyle w:val="Zvraznenie"/>
          <w:i w:val="0"/>
          <w:iCs/>
        </w:rPr>
      </w:pPr>
    </w:p>
    <w:p w14:paraId="5F60D8DB" w14:textId="4D548931" w:rsidR="00F617CC" w:rsidRPr="004D3549" w:rsidRDefault="00F617CC" w:rsidP="00F617CC">
      <w:pPr>
        <w:rPr>
          <w:rStyle w:val="Zvraznenie"/>
        </w:rPr>
      </w:pPr>
      <w:r w:rsidRPr="004D3549">
        <w:rPr>
          <w:rStyle w:val="Vrazn"/>
        </w:rPr>
        <w:t>STN EN 15312</w:t>
      </w:r>
      <w:r w:rsidRPr="004D3549">
        <w:rPr>
          <w:rStyle w:val="Zvraznenie"/>
        </w:rPr>
        <w:t xml:space="preserve"> (94 0519)</w:t>
      </w:r>
    </w:p>
    <w:p w14:paraId="47B049FA" w14:textId="5112C553" w:rsidR="00F617CC" w:rsidRPr="004D3549" w:rsidRDefault="00F617CC" w:rsidP="00F617CC">
      <w:pPr>
        <w:pStyle w:val="Normlntun"/>
        <w:rPr>
          <w:rStyle w:val="Zvraznenie"/>
          <w:i w:val="0"/>
          <w:iCs/>
        </w:rPr>
      </w:pPr>
      <w:r w:rsidRPr="004D3549">
        <w:rPr>
          <w:rStyle w:val="Zvraznenie"/>
          <w:i w:val="0"/>
          <w:iCs/>
        </w:rPr>
        <w:t>Vybavenie pre viaceré druhy športov s voľným prístupom. Bezpečnostné požiadavky a skúšobné metódy ****)</w:t>
      </w:r>
    </w:p>
    <w:p w14:paraId="337CE767" w14:textId="41649414" w:rsidR="00F617CC" w:rsidRPr="004D3549" w:rsidRDefault="00F617CC" w:rsidP="00F617CC">
      <w:pPr>
        <w:rPr>
          <w:rStyle w:val="Obyejn"/>
        </w:rPr>
      </w:pPr>
      <w:r w:rsidRPr="004D3549">
        <w:rPr>
          <w:rStyle w:val="Vrazn"/>
        </w:rPr>
        <w:t>Dátum vydania:</w:t>
      </w:r>
      <w:r w:rsidRPr="004D3549">
        <w:rPr>
          <w:rStyle w:val="Obyejn"/>
        </w:rPr>
        <w:t xml:space="preserve"> 01.07.2026</w:t>
      </w:r>
      <w:r w:rsidRPr="004D3549">
        <w:rPr>
          <w:rStyle w:val="Obyejn"/>
        </w:rPr>
        <w:tab/>
      </w:r>
      <w:r w:rsidRPr="004D3549">
        <w:rPr>
          <w:rStyle w:val="Obyejn"/>
        </w:rPr>
        <w:tab/>
      </w:r>
      <w:r w:rsidRPr="004D3549">
        <w:rPr>
          <w:rStyle w:val="Vrazn"/>
        </w:rPr>
        <w:t>Dátum zrušenia:</w:t>
      </w:r>
      <w:r w:rsidRPr="004D3549">
        <w:rPr>
          <w:rStyle w:val="Obyejn"/>
        </w:rPr>
        <w:t xml:space="preserve"> </w:t>
      </w:r>
    </w:p>
    <w:p w14:paraId="4ECF0BC8" w14:textId="608663B5" w:rsidR="00F617CC" w:rsidRPr="004D3549" w:rsidRDefault="00F617CC" w:rsidP="00F617CC">
      <w:pPr>
        <w:rPr>
          <w:rStyle w:val="Obyejn"/>
        </w:rPr>
      </w:pPr>
      <w:r w:rsidRPr="004D3549">
        <w:rPr>
          <w:rStyle w:val="Vrazn"/>
        </w:rPr>
        <w:t>Dátum schválenia:</w:t>
      </w:r>
      <w:r w:rsidRPr="004D3549">
        <w:rPr>
          <w:rStyle w:val="Obyejn"/>
        </w:rPr>
        <w:t xml:space="preserve"> 23.04.2026</w:t>
      </w:r>
      <w:r w:rsidRPr="004D3549">
        <w:rPr>
          <w:rStyle w:val="Obyejn"/>
        </w:rPr>
        <w:tab/>
      </w:r>
      <w:r w:rsidRPr="004D3549">
        <w:rPr>
          <w:rStyle w:val="Vrazn"/>
        </w:rPr>
        <w:t>Dátum účinnosti:</w:t>
      </w:r>
      <w:r w:rsidRPr="004D3549">
        <w:rPr>
          <w:rStyle w:val="Obyejn"/>
        </w:rPr>
        <w:t xml:space="preserve"> </w:t>
      </w:r>
    </w:p>
    <w:p w14:paraId="45A703FA" w14:textId="2E1B9647" w:rsidR="00F617CC" w:rsidRPr="004D3549" w:rsidRDefault="00F617CC" w:rsidP="00F617CC">
      <w:pPr>
        <w:rPr>
          <w:rStyle w:val="Obyejn"/>
        </w:rPr>
      </w:pPr>
      <w:r w:rsidRPr="004D3549">
        <w:rPr>
          <w:rStyle w:val="Vrazn"/>
        </w:rPr>
        <w:t>Úroveň zapracovania:</w:t>
      </w:r>
      <w:r w:rsidRPr="004D3549">
        <w:rPr>
          <w:rStyle w:val="Obyejn"/>
        </w:rPr>
        <w:t xml:space="preserve"> idt. EN 15312: 2026</w:t>
      </w:r>
    </w:p>
    <w:p w14:paraId="65B7402B" w14:textId="321568F6" w:rsidR="00F617CC" w:rsidRPr="004D3549" w:rsidRDefault="00F617CC" w:rsidP="00F617CC">
      <w:pPr>
        <w:rPr>
          <w:rStyle w:val="Obyejn"/>
        </w:rPr>
      </w:pPr>
      <w:r w:rsidRPr="004D3549">
        <w:rPr>
          <w:rStyle w:val="Vrazn"/>
        </w:rPr>
        <w:t>Spôsob prevzatia:</w:t>
      </w:r>
      <w:r w:rsidRPr="004D3549">
        <w:rPr>
          <w:rStyle w:val="Obyejn"/>
        </w:rPr>
        <w:t xml:space="preserve"> Prevzatie oznámením vo Vestníku</w:t>
      </w:r>
      <w:r w:rsidRPr="004D3549">
        <w:rPr>
          <w:rStyle w:val="Obyejn"/>
        </w:rPr>
        <w:tab/>
      </w:r>
      <w:r w:rsidRPr="004D3549">
        <w:rPr>
          <w:rStyle w:val="Vrazn"/>
        </w:rPr>
        <w:t>Jazyk:</w:t>
      </w:r>
      <w:r w:rsidRPr="004D3549">
        <w:rPr>
          <w:rStyle w:val="Obyejn"/>
        </w:rPr>
        <w:t xml:space="preserve"> en</w:t>
      </w:r>
    </w:p>
    <w:p w14:paraId="14B9F361" w14:textId="5B4D4A4A" w:rsidR="00F617CC" w:rsidRPr="004D3549" w:rsidRDefault="00F617CC" w:rsidP="00F617CC">
      <w:pPr>
        <w:rPr>
          <w:rStyle w:val="Obyejn"/>
          <w:color w:val="FF0000"/>
        </w:rPr>
      </w:pPr>
      <w:r w:rsidRPr="004D3549">
        <w:rPr>
          <w:rStyle w:val="Vrazn"/>
          <w:color w:val="FF0000"/>
        </w:rPr>
        <w:t>Nahradené normy:</w:t>
      </w:r>
      <w:r w:rsidRPr="004D3549">
        <w:rPr>
          <w:rStyle w:val="Obyejn"/>
          <w:color w:val="FF0000"/>
        </w:rPr>
        <w:t xml:space="preserve"> STN EN 15312+A1: 2023</w:t>
      </w:r>
    </w:p>
    <w:p w14:paraId="75981734" w14:textId="4DB23DA3" w:rsidR="00F617CC" w:rsidRPr="004D3549" w:rsidRDefault="00F617CC" w:rsidP="00F617CC">
      <w:pPr>
        <w:rPr>
          <w:rStyle w:val="Obyejn"/>
        </w:rPr>
      </w:pPr>
      <w:r w:rsidRPr="004D3549">
        <w:rPr>
          <w:rStyle w:val="Vrazn"/>
        </w:rPr>
        <w:t>Čiastočne nahradené normy:</w:t>
      </w:r>
      <w:r w:rsidRPr="004D3549">
        <w:rPr>
          <w:rStyle w:val="Obyejn"/>
        </w:rPr>
        <w:t xml:space="preserve"> </w:t>
      </w:r>
    </w:p>
    <w:p w14:paraId="1DCD9BDA" w14:textId="0F423C57" w:rsidR="00F617CC" w:rsidRPr="004D3549" w:rsidRDefault="00F617CC" w:rsidP="00F617CC">
      <w:pPr>
        <w:rPr>
          <w:rStyle w:val="Obyejn"/>
        </w:rPr>
      </w:pPr>
      <w:r w:rsidRPr="004D3549">
        <w:rPr>
          <w:rStyle w:val="Vrazn"/>
        </w:rPr>
        <w:t>Právne predpisy:</w:t>
      </w:r>
      <w:r w:rsidRPr="004D3549">
        <w:rPr>
          <w:rStyle w:val="Obyejn"/>
        </w:rPr>
        <w:t xml:space="preserve"> </w:t>
      </w:r>
    </w:p>
    <w:p w14:paraId="69045079" w14:textId="707011F0" w:rsidR="00F617CC" w:rsidRPr="004D3549" w:rsidRDefault="00F617CC" w:rsidP="00F617CC">
      <w:pPr>
        <w:rPr>
          <w:rStyle w:val="Obyejn"/>
        </w:rPr>
      </w:pPr>
      <w:r w:rsidRPr="004D3549">
        <w:rPr>
          <w:rStyle w:val="Vrazn"/>
        </w:rPr>
        <w:t>Predmet normy:</w:t>
      </w:r>
      <w:r w:rsidRPr="004D3549">
        <w:rPr>
          <w:rStyle w:val="Obyejn"/>
        </w:rPr>
        <w:t xml:space="preserve"> This document is applicable to free access unsupervised multi-sports equipment and combinations intended for permanent installation, primarily used for training, recreational and educational use outdoors. This document specifies requirements for free access unsupervised multi-sports equipment which can incorporate a multi-sports surround, ball stop screen and various equipment for sports such as badminton, basketball, football, futsal, handball, hockey, tennis, and volleyball. This document specifies requirements, including safety, for the equipment itself as well as for its installation, operation, inspection, and maintenance. This document is applicable to multi-sports equipment intended for individual and collective public use primarily by children and teenagers. This document is not applicable to equipment as defined in the following standards: — Playground equipment and surfacing EN 1176 series, — Skateparks EN 14974, — Artificial climbing structures EN 12572 series, — Basketball equipment EN ...</w:t>
      </w:r>
    </w:p>
    <w:p w14:paraId="70962AA0" w14:textId="4BEE3B5A" w:rsidR="00F617CC" w:rsidRDefault="00F617CC" w:rsidP="00F617CC">
      <w:pPr>
        <w:pStyle w:val="Normlnkurzva"/>
        <w:rPr>
          <w:rStyle w:val="Zvraznenie"/>
          <w:i/>
          <w:iCs/>
        </w:rPr>
      </w:pPr>
      <w:r w:rsidRPr="004D3549">
        <w:rPr>
          <w:rStyle w:val="Zvraznenie"/>
          <w:i/>
          <w:iCs/>
        </w:rPr>
        <w:t>Cenová skupina: 8</w:t>
      </w:r>
      <w:r w:rsidRPr="004D3549">
        <w:rPr>
          <w:rStyle w:val="Zvraznenie"/>
          <w:i/>
          <w:iCs/>
        </w:rPr>
        <w:tab/>
        <w:t>Počet strán: 64</w:t>
      </w:r>
    </w:p>
    <w:p w14:paraId="638A4DFD" w14:textId="77777777" w:rsidR="00F617CC" w:rsidRDefault="00F617CC" w:rsidP="00F617CC">
      <w:pPr>
        <w:rPr>
          <w:rStyle w:val="Zvraznenie"/>
          <w:i w:val="0"/>
          <w:iCs/>
        </w:rPr>
      </w:pPr>
    </w:p>
    <w:sectPr w:rsidR="00F617CC">
      <w:footerReference w:type="default" r:id="rI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0DB7" w14:textId="77777777" w:rsidR="007B0D24" w:rsidRDefault="007B0D24">
      <w:r>
        <w:separator/>
      </w:r>
    </w:p>
  </w:endnote>
  <w:endnote w:type="continuationSeparator" w:id="0">
    <w:p w14:paraId="24D3AB03" w14:textId="77777777" w:rsidR="007B0D24" w:rsidRDefault="007B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44830"/>
      <w:docPartObj>
        <w:docPartGallery w:val="Page Numbers (Bottom of Page)"/>
        <w:docPartUnique/>
      </w:docPartObj>
    </w:sdtPr>
    <w:sdtEndPr/>
    <w:sdtContent>
      <w:p w14:paraId="1C8305B7" w14:textId="466A531D" w:rsidR="00626B44" w:rsidRDefault="00626B44">
        <w:pPr>
          <w:pStyle w:val="Pta"/>
          <w:jc w:val="right"/>
        </w:pPr>
        <w:r>
          <w:fldChar w:fldCharType="begin"/>
        </w:r>
        <w:r>
          <w:instrText>PAGE   \* MERGEFORMAT</w:instrText>
        </w:r>
        <w:r>
          <w:fldChar w:fldCharType="separate"/>
        </w:r>
        <w:r>
          <w:rPr>
            <w:lang w:val="sk-SK"/>
          </w:rPr>
          <w:t>2</w:t>
        </w:r>
        <w:r>
          <w:fldChar w:fldCharType="end"/>
        </w:r>
      </w:p>
    </w:sdtContent>
  </w:sdt>
  <w:p w14:paraId="4A847A52" w14:textId="77777777" w:rsidR="00626B44" w:rsidRDefault="00626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9C61" w14:textId="77777777" w:rsidR="007B0D24" w:rsidRDefault="007B0D24">
      <w:r>
        <w:separator/>
      </w:r>
    </w:p>
  </w:footnote>
  <w:footnote w:type="continuationSeparator" w:id="0">
    <w:p w14:paraId="5B833B7D" w14:textId="77777777" w:rsidR="007B0D24" w:rsidRDefault="007B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24"/>
    <w:rsid w:val="00337FCA"/>
    <w:rsid w:val="004D3549"/>
    <w:rsid w:val="0059780A"/>
    <w:rsid w:val="005B2053"/>
    <w:rsid w:val="006127ED"/>
    <w:rsid w:val="00626B44"/>
    <w:rsid w:val="006318D6"/>
    <w:rsid w:val="007B0D24"/>
    <w:rsid w:val="00841510"/>
    <w:rsid w:val="0085119B"/>
    <w:rsid w:val="009A7C98"/>
    <w:rsid w:val="00B07F03"/>
    <w:rsid w:val="00B84579"/>
    <w:rsid w:val="00EF0906"/>
    <w:rsid w:val="00F22B48"/>
    <w:rsid w:val="00F617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9AB1"/>
  <w15:chartTrackingRefBased/>
  <w15:docId w15:val="{61FB57FE-AE33-46DC-BE4F-A4EE8D03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aliases w:val="Normální"/>
    <w:qFormat/>
    <w:rPr>
      <w:sz w:val="24"/>
      <w:lang w:val="cs-CZ" w:eastAsia="cs-CZ"/>
    </w:rPr>
  </w:style>
  <w:style w:type="paragraph" w:styleId="Nadpis1">
    <w:name w:val="heading 1"/>
    <w:basedOn w:val="Normlny"/>
    <w:next w:val="Normlny"/>
    <w:qFormat/>
    <w:pPr>
      <w:keepNext/>
      <w:spacing w:after="240"/>
      <w:jc w:val="center"/>
      <w:outlineLvl w:val="0"/>
    </w:pPr>
    <w:rPr>
      <w:b/>
      <w:kern w:val="28"/>
      <w:sz w:val="28"/>
    </w:rPr>
  </w:style>
  <w:style w:type="paragraph" w:styleId="Nadpis3">
    <w:name w:val="heading 3"/>
    <w:basedOn w:val="Normlny"/>
    <w:next w:val="Normlny"/>
    <w:qFormat/>
    <w:pPr>
      <w:keepNext/>
      <w:spacing w:after="120"/>
      <w:jc w:val="center"/>
      <w:outlineLvl w:val="2"/>
    </w:pPr>
    <w:rPr>
      <w:b/>
      <w:i/>
    </w:rPr>
  </w:style>
  <w:style w:type="paragraph" w:styleId="Nadpis9">
    <w:name w:val="heading 9"/>
    <w:basedOn w:val="Normlny"/>
    <w:next w:val="Normlny"/>
    <w:qFormat/>
    <w:pPr>
      <w:spacing w:before="240" w:after="60"/>
      <w:outlineLvl w:val="8"/>
    </w:pPr>
    <w:rPr>
      <w:rFonts w:ascii="Arial" w:hAnsi="Arial"/>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Záhlaví"/>
    <w:basedOn w:val="Normlny"/>
    <w:pPr>
      <w:tabs>
        <w:tab w:val="center" w:pos="4536"/>
        <w:tab w:val="right" w:pos="9072"/>
      </w:tabs>
    </w:pPr>
  </w:style>
  <w:style w:type="paragraph" w:customStyle="1" w:styleId="Normlntun">
    <w:name w:val="Normální tučný"/>
    <w:basedOn w:val="Normlny"/>
    <w:next w:val="Normlny"/>
    <w:autoRedefine/>
    <w:rPr>
      <w:b/>
    </w:rPr>
  </w:style>
  <w:style w:type="paragraph" w:customStyle="1" w:styleId="Normlnkurzva">
    <w:name w:val="Normální kurzíva"/>
    <w:basedOn w:val="Normlny"/>
    <w:next w:val="Normlny"/>
    <w:autoRedefine/>
    <w:rPr>
      <w:i/>
    </w:rPr>
  </w:style>
  <w:style w:type="character" w:styleId="Vrazn">
    <w:name w:val="Strong"/>
    <w:aliases w:val="Silné"/>
    <w:basedOn w:val="Predvolenpsmoodseku"/>
    <w:qFormat/>
    <w:rPr>
      <w:b/>
    </w:rPr>
  </w:style>
  <w:style w:type="character" w:styleId="Zvraznenie">
    <w:name w:val="Emphasis"/>
    <w:aliases w:val="Zvýraznění"/>
    <w:basedOn w:val="Predvolenpsmoodseku"/>
    <w:qFormat/>
    <w:rPr>
      <w:i/>
    </w:rPr>
  </w:style>
  <w:style w:type="character" w:customStyle="1" w:styleId="Obyejn">
    <w:name w:val="Obyčejný"/>
    <w:basedOn w:val="Predvolenpsmoodseku"/>
    <w:rPr>
      <w:rFonts w:ascii="Times New Roman" w:hAnsi="Times New Roman"/>
      <w:sz w:val="24"/>
    </w:rPr>
  </w:style>
  <w:style w:type="paragraph" w:customStyle="1" w:styleId="STN">
    <w:name w:val="SÚTN"/>
    <w:basedOn w:val="Normlny"/>
    <w:next w:val="Normlnstred"/>
    <w:pPr>
      <w:spacing w:before="120" w:after="240"/>
      <w:jc w:val="center"/>
    </w:pPr>
    <w:rPr>
      <w:b/>
      <w:spacing w:val="26"/>
      <w:w w:val="99"/>
      <w:sz w:val="32"/>
    </w:rPr>
  </w:style>
  <w:style w:type="paragraph" w:customStyle="1" w:styleId="Normlnstred">
    <w:name w:val="Normální stred"/>
    <w:basedOn w:val="Normlny"/>
    <w:pPr>
      <w:jc w:val="center"/>
    </w:pPr>
  </w:style>
  <w:style w:type="paragraph" w:customStyle="1" w:styleId="Ponuka">
    <w:name w:val="Ponuka"/>
    <w:basedOn w:val="Normlny"/>
    <w:next w:val="Normlnstred"/>
    <w:pPr>
      <w:spacing w:before="360" w:after="360"/>
      <w:jc w:val="center"/>
    </w:pPr>
    <w:rPr>
      <w:b/>
      <w:spacing w:val="24"/>
      <w:sz w:val="36"/>
    </w:rPr>
  </w:style>
  <w:style w:type="paragraph" w:customStyle="1" w:styleId="Normlnsrou">
    <w:name w:val="Normální s čárou"/>
    <w:basedOn w:val="Normlny"/>
    <w:next w:val="Normlny"/>
    <w:pPr>
      <w:pBdr>
        <w:bottom w:val="single" w:sz="12" w:space="1" w:color="auto"/>
      </w:pBdr>
    </w:pPr>
  </w:style>
  <w:style w:type="paragraph" w:customStyle="1" w:styleId="Tabulka">
    <w:name w:val="Tabulka"/>
    <w:basedOn w:val="Normlny"/>
    <w:pPr>
      <w:spacing w:after="120"/>
    </w:pPr>
    <w:rPr>
      <w:sz w:val="20"/>
    </w:rPr>
  </w:style>
  <w:style w:type="paragraph" w:customStyle="1" w:styleId="Tabulkastred">
    <w:name w:val="Tabulka stred"/>
    <w:basedOn w:val="Tabulka"/>
    <w:pPr>
      <w:spacing w:before="120"/>
      <w:jc w:val="center"/>
    </w:pPr>
  </w:style>
  <w:style w:type="paragraph" w:customStyle="1" w:styleId="Tabulkatun">
    <w:name w:val="Tabulka tučné"/>
    <w:basedOn w:val="Tabulka"/>
    <w:pPr>
      <w:spacing w:before="120" w:after="0"/>
    </w:pPr>
    <w:rPr>
      <w:b/>
    </w:rPr>
  </w:style>
  <w:style w:type="paragraph" w:customStyle="1" w:styleId="Tabulkastredtun">
    <w:name w:val="Tabulka stred tučné"/>
    <w:basedOn w:val="Tabulka"/>
    <w:pPr>
      <w:spacing w:before="120"/>
      <w:jc w:val="center"/>
    </w:pPr>
    <w:rPr>
      <w:b/>
    </w:rPr>
  </w:style>
  <w:style w:type="paragraph" w:customStyle="1" w:styleId="Nic">
    <w:name w:val="Nic"/>
    <w:basedOn w:val="Normlny"/>
    <w:next w:val="Normlny"/>
    <w:rPr>
      <w:color w:val="FFFFFF"/>
      <w:sz w:val="2"/>
    </w:rPr>
  </w:style>
  <w:style w:type="paragraph" w:styleId="Pta">
    <w:name w:val="footer"/>
    <w:aliases w:val="Zápatí"/>
    <w:basedOn w:val="Normlny"/>
    <w:link w:val="PtaChar"/>
    <w:uiPriority w:val="99"/>
    <w:pPr>
      <w:tabs>
        <w:tab w:val="center" w:pos="4536"/>
        <w:tab w:val="right" w:pos="9072"/>
      </w:tabs>
    </w:pPr>
    <w:rPr>
      <w:sz w:val="20"/>
    </w:rPr>
  </w:style>
  <w:style w:type="character" w:customStyle="1" w:styleId="PtaChar">
    <w:name w:val="Päta Char"/>
    <w:aliases w:val="Zápatí Char"/>
    <w:basedOn w:val="Predvolenpsmoodseku"/>
    <w:link w:val="Pta"/>
    <w:uiPriority w:val="99"/>
    <w:rsid w:val="00626B44"/>
    <w:rPr>
      <w:lang w:val="cs-CZ" w:eastAsia="cs-CZ"/>
    </w:rPr>
  </w:style>
  <w:style w:type="paragraph" w:customStyle="1" w:styleId="Nic2">
    <w:name w:val="Nic2"/>
    <w:basedOn w:val="Nic"/>
    <w:next w:val="Normlny"/>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1286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Ponuka noriem</vt:lpstr>
    </vt:vector>
  </TitlesOfParts>
  <Company>SÚTN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Ponuka noriem</dc:title>
  <dc:subject/>
  <dc:creator>Veselovský Dávid</dc:creator>
  <cp:keywords/>
  <cp:lastModifiedBy>Veselovský Dávid</cp:lastModifiedBy>
  <cp:revision>2</cp:revision>
  <dcterms:created xsi:type="dcterms:W3CDTF">2026-06-23T07:39:00Z</dcterms:created>
  <dcterms:modified xsi:type="dcterms:W3CDTF">2026-06-23T07:39:00Z</dcterms:modified>
</cp:coreProperties>
</file>